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3E" w:rsidRDefault="00313DD8" w:rsidP="0084194D">
      <w:pPr>
        <w:spacing w:after="0" w:line="240" w:lineRule="auto"/>
        <w:jc w:val="center"/>
        <w:rPr>
          <w:sz w:val="28"/>
          <w:szCs w:val="28"/>
        </w:rPr>
      </w:pPr>
      <w:r w:rsidRPr="0097013E">
        <w:rPr>
          <w:sz w:val="28"/>
          <w:szCs w:val="28"/>
        </w:rPr>
        <w:t>Turtle Cove Environm</w:t>
      </w:r>
      <w:r w:rsidR="004E58B9">
        <w:rPr>
          <w:sz w:val="28"/>
          <w:szCs w:val="28"/>
        </w:rPr>
        <w:t>ental Research Station</w:t>
      </w:r>
    </w:p>
    <w:p w:rsidR="0084194D" w:rsidRPr="0097013E" w:rsidRDefault="00F25BCD" w:rsidP="0084194D">
      <w:pPr>
        <w:spacing w:after="0" w:line="240" w:lineRule="auto"/>
        <w:jc w:val="center"/>
        <w:rPr>
          <w:sz w:val="28"/>
          <w:szCs w:val="28"/>
        </w:rPr>
      </w:pPr>
      <w:r w:rsidRPr="0097013E">
        <w:rPr>
          <w:sz w:val="28"/>
          <w:szCs w:val="28"/>
        </w:rPr>
        <w:t>Institutional Effectiveness</w:t>
      </w:r>
      <w:r w:rsidR="00D76AA9" w:rsidRPr="0097013E">
        <w:rPr>
          <w:sz w:val="28"/>
          <w:szCs w:val="28"/>
        </w:rPr>
        <w:t xml:space="preserve"> for Calendar Year </w:t>
      </w:r>
      <w:r w:rsidR="00FD77B4" w:rsidRPr="0097013E">
        <w:rPr>
          <w:sz w:val="28"/>
          <w:szCs w:val="28"/>
        </w:rPr>
        <w:t>2016</w:t>
      </w:r>
      <w:r w:rsidR="0084194D" w:rsidRPr="0097013E">
        <w:rPr>
          <w:sz w:val="28"/>
          <w:szCs w:val="28"/>
        </w:rPr>
        <w:t xml:space="preserve">:  </w:t>
      </w:r>
    </w:p>
    <w:p w:rsidR="00313DD8" w:rsidRPr="0097013E" w:rsidRDefault="004E58B9" w:rsidP="008419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(Annual) </w:t>
      </w:r>
      <w:r w:rsidR="0084194D" w:rsidRPr="0097013E">
        <w:rPr>
          <w:sz w:val="28"/>
          <w:szCs w:val="28"/>
        </w:rPr>
        <w:t>Report</w:t>
      </w:r>
      <w:r w:rsidR="00313DD8" w:rsidRPr="0097013E">
        <w:rPr>
          <w:sz w:val="28"/>
          <w:szCs w:val="28"/>
        </w:rPr>
        <w:t xml:space="preserve"> Section</w:t>
      </w:r>
      <w:r w:rsidR="0084194D" w:rsidRPr="0097013E">
        <w:rPr>
          <w:sz w:val="28"/>
          <w:szCs w:val="28"/>
        </w:rPr>
        <w:t xml:space="preserve"> </w:t>
      </w:r>
      <w:r w:rsidR="003A5D0C" w:rsidRPr="0097013E">
        <w:rPr>
          <w:sz w:val="28"/>
          <w:szCs w:val="28"/>
        </w:rPr>
        <w:t>Highlights</w:t>
      </w:r>
      <w:r w:rsidR="0097013E">
        <w:rPr>
          <w:sz w:val="28"/>
          <w:szCs w:val="28"/>
        </w:rPr>
        <w:t xml:space="preserve"> (1/</w:t>
      </w:r>
      <w:r w:rsidR="00FD77B4" w:rsidRPr="0097013E">
        <w:rPr>
          <w:sz w:val="28"/>
          <w:szCs w:val="28"/>
        </w:rPr>
        <w:t>1-16 – 12/31/16</w:t>
      </w:r>
      <w:r w:rsidR="003E118C" w:rsidRPr="0097013E">
        <w:rPr>
          <w:sz w:val="28"/>
          <w:szCs w:val="28"/>
        </w:rPr>
        <w:t>)</w:t>
      </w:r>
    </w:p>
    <w:p w:rsidR="003A5D0C" w:rsidRPr="0097013E" w:rsidRDefault="00773BB6" w:rsidP="00E71EED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438150</wp:posOffset>
            </wp:positionH>
            <wp:positionV relativeFrom="paragraph">
              <wp:posOffset>101600</wp:posOffset>
            </wp:positionV>
            <wp:extent cx="5000625" cy="2764155"/>
            <wp:effectExtent l="0" t="0" r="9525" b="0"/>
            <wp:wrapSquare wrapText="bothSides"/>
            <wp:docPr id="3" name="Picture 3" descr="Image result for pictures of turtle cove environmental research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turtle cove environmental research st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B70D0" w:rsidRDefault="00CB70D0" w:rsidP="00E71EE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E71EED" w:rsidRPr="0097013E" w:rsidRDefault="00E71EED" w:rsidP="00E71EED">
      <w:pPr>
        <w:spacing w:after="0" w:line="240" w:lineRule="auto"/>
        <w:jc w:val="both"/>
        <w:rPr>
          <w:sz w:val="24"/>
          <w:szCs w:val="24"/>
          <w:u w:val="single"/>
        </w:rPr>
      </w:pPr>
      <w:r w:rsidRPr="0097013E">
        <w:rPr>
          <w:sz w:val="24"/>
          <w:szCs w:val="24"/>
          <w:u w:val="single"/>
        </w:rPr>
        <w:t xml:space="preserve">OVERVIEW OF </w:t>
      </w:r>
      <w:r w:rsidR="003A5D0C" w:rsidRPr="0097013E">
        <w:rPr>
          <w:sz w:val="24"/>
          <w:szCs w:val="24"/>
          <w:u w:val="single"/>
        </w:rPr>
        <w:t xml:space="preserve">PROGRAM </w:t>
      </w:r>
      <w:r w:rsidR="008F3AB1" w:rsidRPr="0097013E">
        <w:rPr>
          <w:sz w:val="24"/>
          <w:szCs w:val="24"/>
          <w:u w:val="single"/>
        </w:rPr>
        <w:t xml:space="preserve">RESOURCES </w:t>
      </w:r>
      <w:r w:rsidR="00CB70D0">
        <w:rPr>
          <w:sz w:val="24"/>
          <w:szCs w:val="24"/>
          <w:u w:val="single"/>
        </w:rPr>
        <w:t>and I.E.</w:t>
      </w:r>
      <w:r w:rsidR="003A5D0C" w:rsidRPr="0097013E">
        <w:rPr>
          <w:sz w:val="24"/>
          <w:szCs w:val="24"/>
          <w:u w:val="single"/>
        </w:rPr>
        <w:t xml:space="preserve"> </w:t>
      </w:r>
      <w:r w:rsidRPr="0097013E">
        <w:rPr>
          <w:sz w:val="24"/>
          <w:szCs w:val="24"/>
          <w:u w:val="single"/>
        </w:rPr>
        <w:t>TIME-FRAME</w:t>
      </w:r>
    </w:p>
    <w:p w:rsidR="00EC3718" w:rsidRDefault="002C208B" w:rsidP="00F30BF2">
      <w:pPr>
        <w:spacing w:after="0" w:line="240" w:lineRule="auto"/>
        <w:ind w:firstLine="720"/>
        <w:jc w:val="both"/>
        <w:rPr>
          <w:sz w:val="24"/>
          <w:szCs w:val="24"/>
        </w:rPr>
      </w:pPr>
      <w:r w:rsidRPr="0097013E">
        <w:rPr>
          <w:sz w:val="24"/>
          <w:szCs w:val="24"/>
        </w:rPr>
        <w:t>The Turtle Cove Environmental Research</w:t>
      </w:r>
      <w:r w:rsidR="00252779" w:rsidRPr="0097013E">
        <w:rPr>
          <w:sz w:val="24"/>
          <w:szCs w:val="24"/>
        </w:rPr>
        <w:t xml:space="preserve"> Station had a</w:t>
      </w:r>
      <w:r w:rsidR="00016842" w:rsidRPr="0097013E">
        <w:rPr>
          <w:sz w:val="24"/>
          <w:szCs w:val="24"/>
        </w:rPr>
        <w:t>nother near record year</w:t>
      </w:r>
      <w:r w:rsidR="00D26132">
        <w:rPr>
          <w:sz w:val="24"/>
          <w:szCs w:val="24"/>
        </w:rPr>
        <w:t xml:space="preserve"> of use in 2016--</w:t>
      </w:r>
      <w:r w:rsidR="00016842" w:rsidRPr="0097013E">
        <w:rPr>
          <w:sz w:val="24"/>
          <w:szCs w:val="24"/>
        </w:rPr>
        <w:t>its 31</w:t>
      </w:r>
      <w:r w:rsidR="00016842" w:rsidRPr="0097013E">
        <w:rPr>
          <w:sz w:val="24"/>
          <w:szCs w:val="24"/>
          <w:vertAlign w:val="superscript"/>
        </w:rPr>
        <w:t>st</w:t>
      </w:r>
      <w:r w:rsidR="0097013E">
        <w:rPr>
          <w:sz w:val="24"/>
          <w:szCs w:val="24"/>
        </w:rPr>
        <w:t xml:space="preserve"> year of existence--</w:t>
      </w:r>
      <w:r w:rsidR="003A5D0C" w:rsidRPr="0097013E">
        <w:rPr>
          <w:sz w:val="24"/>
          <w:szCs w:val="24"/>
        </w:rPr>
        <w:t xml:space="preserve">as a program </w:t>
      </w:r>
      <w:r w:rsidRPr="0097013E">
        <w:rPr>
          <w:sz w:val="24"/>
          <w:szCs w:val="24"/>
        </w:rPr>
        <w:t xml:space="preserve">supporting environmental research, </w:t>
      </w:r>
      <w:r w:rsidR="00CB70D0">
        <w:rPr>
          <w:sz w:val="24"/>
          <w:szCs w:val="24"/>
        </w:rPr>
        <w:t xml:space="preserve">university </w:t>
      </w:r>
      <w:r w:rsidRPr="0097013E">
        <w:rPr>
          <w:sz w:val="24"/>
          <w:szCs w:val="24"/>
        </w:rPr>
        <w:t>education and public outreach activities for Southeast</w:t>
      </w:r>
      <w:r w:rsidR="0097013E">
        <w:rPr>
          <w:sz w:val="24"/>
          <w:szCs w:val="24"/>
        </w:rPr>
        <w:t>ern Louisiana University.  Turtle Cove ERS</w:t>
      </w:r>
      <w:r w:rsidR="003A5D0C" w:rsidRPr="0097013E">
        <w:rPr>
          <w:sz w:val="24"/>
          <w:szCs w:val="24"/>
        </w:rPr>
        <w:t xml:space="preserve"> serves as </w:t>
      </w:r>
      <w:r w:rsidR="008D15D9" w:rsidRPr="0097013E">
        <w:rPr>
          <w:sz w:val="24"/>
          <w:szCs w:val="24"/>
        </w:rPr>
        <w:t xml:space="preserve">the </w:t>
      </w:r>
      <w:r w:rsidRPr="0097013E">
        <w:rPr>
          <w:sz w:val="24"/>
          <w:szCs w:val="24"/>
        </w:rPr>
        <w:t xml:space="preserve">university’s primary means of access to the Lake Pontchartrain </w:t>
      </w:r>
      <w:r w:rsidR="00D26132">
        <w:rPr>
          <w:sz w:val="24"/>
          <w:szCs w:val="24"/>
        </w:rPr>
        <w:t xml:space="preserve">Basin </w:t>
      </w:r>
      <w:r w:rsidRPr="0097013E">
        <w:rPr>
          <w:sz w:val="24"/>
          <w:szCs w:val="24"/>
        </w:rPr>
        <w:t>Estuarine System</w:t>
      </w:r>
      <w:r w:rsidR="003A5D0C" w:rsidRPr="0097013E">
        <w:rPr>
          <w:sz w:val="24"/>
          <w:szCs w:val="24"/>
        </w:rPr>
        <w:t xml:space="preserve"> via two primary sites that consist of th</w:t>
      </w:r>
      <w:r w:rsidR="00252779" w:rsidRPr="0097013E">
        <w:rPr>
          <w:sz w:val="24"/>
          <w:szCs w:val="24"/>
        </w:rPr>
        <w:t>e Boatshed/Classroom</w:t>
      </w:r>
      <w:r w:rsidR="00D26132">
        <w:rPr>
          <w:sz w:val="24"/>
          <w:szCs w:val="24"/>
        </w:rPr>
        <w:t>/Parking lot</w:t>
      </w:r>
      <w:r w:rsidR="00252779" w:rsidRPr="0097013E">
        <w:rPr>
          <w:sz w:val="24"/>
          <w:szCs w:val="24"/>
        </w:rPr>
        <w:t xml:space="preserve"> Facility on</w:t>
      </w:r>
      <w:r w:rsidR="003A5D0C" w:rsidRPr="0097013E">
        <w:rPr>
          <w:sz w:val="24"/>
          <w:szCs w:val="24"/>
        </w:rPr>
        <w:t xml:space="preserve"> Gal</w:t>
      </w:r>
      <w:r w:rsidR="00252779" w:rsidRPr="0097013E">
        <w:rPr>
          <w:sz w:val="24"/>
          <w:szCs w:val="24"/>
        </w:rPr>
        <w:t>v</w:t>
      </w:r>
      <w:r w:rsidR="003A5D0C" w:rsidRPr="0097013E">
        <w:rPr>
          <w:sz w:val="24"/>
          <w:szCs w:val="24"/>
        </w:rPr>
        <w:t>a Canal in Manchac</w:t>
      </w:r>
      <w:r w:rsidR="00EC3718">
        <w:rPr>
          <w:sz w:val="24"/>
          <w:szCs w:val="24"/>
        </w:rPr>
        <w:t xml:space="preserve"> (built by Southeastern in May of 2005)</w:t>
      </w:r>
      <w:r w:rsidR="00D26132">
        <w:rPr>
          <w:sz w:val="24"/>
          <w:szCs w:val="24"/>
        </w:rPr>
        <w:t xml:space="preserve">, and the Guest House </w:t>
      </w:r>
      <w:r w:rsidR="003A5D0C" w:rsidRPr="0097013E">
        <w:rPr>
          <w:sz w:val="24"/>
          <w:szCs w:val="24"/>
        </w:rPr>
        <w:t>Field Station</w:t>
      </w:r>
      <w:r w:rsidR="008F3AB1" w:rsidRPr="0097013E">
        <w:rPr>
          <w:sz w:val="24"/>
          <w:szCs w:val="24"/>
        </w:rPr>
        <w:t>/Boardwalk</w:t>
      </w:r>
      <w:r w:rsidR="00D26132">
        <w:rPr>
          <w:sz w:val="24"/>
          <w:szCs w:val="24"/>
        </w:rPr>
        <w:t>/Caretaker Residence s</w:t>
      </w:r>
      <w:r w:rsidR="003A5D0C" w:rsidRPr="0097013E">
        <w:rPr>
          <w:sz w:val="24"/>
          <w:szCs w:val="24"/>
        </w:rPr>
        <w:t>ite on t</w:t>
      </w:r>
      <w:r w:rsidR="00D26132">
        <w:rPr>
          <w:sz w:val="24"/>
          <w:szCs w:val="24"/>
        </w:rPr>
        <w:t>he s</w:t>
      </w:r>
      <w:r w:rsidR="003A5D0C" w:rsidRPr="0097013E">
        <w:rPr>
          <w:sz w:val="24"/>
          <w:szCs w:val="24"/>
        </w:rPr>
        <w:t>outh</w:t>
      </w:r>
      <w:r w:rsidR="00252779" w:rsidRPr="0097013E">
        <w:rPr>
          <w:sz w:val="24"/>
          <w:szCs w:val="24"/>
        </w:rPr>
        <w:t>-</w:t>
      </w:r>
      <w:r w:rsidR="003A5D0C" w:rsidRPr="0097013E">
        <w:rPr>
          <w:sz w:val="24"/>
          <w:szCs w:val="24"/>
        </w:rPr>
        <w:t>shore of Pass Manchac on the Manchac Wildlife Management Area</w:t>
      </w:r>
      <w:r w:rsidR="002E101B" w:rsidRPr="0097013E">
        <w:rPr>
          <w:sz w:val="24"/>
          <w:szCs w:val="24"/>
        </w:rPr>
        <w:t xml:space="preserve"> (WMA)</w:t>
      </w:r>
      <w:r w:rsidR="003A5D0C" w:rsidRPr="0097013E">
        <w:rPr>
          <w:sz w:val="24"/>
          <w:szCs w:val="24"/>
        </w:rPr>
        <w:t>, which is accessible only by boat</w:t>
      </w:r>
      <w:r w:rsidR="00951857">
        <w:rPr>
          <w:sz w:val="24"/>
          <w:szCs w:val="24"/>
        </w:rPr>
        <w:t xml:space="preserve"> via a 20-</w:t>
      </w:r>
      <w:r w:rsidR="0097013E">
        <w:rPr>
          <w:sz w:val="24"/>
          <w:szCs w:val="24"/>
        </w:rPr>
        <w:t>mi</w:t>
      </w:r>
      <w:r w:rsidR="00D26132">
        <w:rPr>
          <w:sz w:val="24"/>
          <w:szCs w:val="24"/>
        </w:rPr>
        <w:t>nute boat ride from the Galva Boatshed</w:t>
      </w:r>
      <w:r w:rsidR="008F3AB1" w:rsidRPr="0097013E">
        <w:rPr>
          <w:sz w:val="24"/>
          <w:szCs w:val="24"/>
        </w:rPr>
        <w:t>.</w:t>
      </w:r>
      <w:r w:rsidR="00F30BF2" w:rsidRPr="0097013E">
        <w:rPr>
          <w:sz w:val="24"/>
          <w:szCs w:val="24"/>
        </w:rPr>
        <w:t xml:space="preserve"> </w:t>
      </w:r>
      <w:r w:rsidR="00EC3718">
        <w:rPr>
          <w:sz w:val="24"/>
          <w:szCs w:val="24"/>
        </w:rPr>
        <w:t>The historic guest hou</w:t>
      </w:r>
      <w:r w:rsidR="00D26132">
        <w:rPr>
          <w:sz w:val="24"/>
          <w:szCs w:val="24"/>
        </w:rPr>
        <w:t>se was originally built in 1908.  T</w:t>
      </w:r>
      <w:r w:rsidR="00EC3718">
        <w:rPr>
          <w:sz w:val="24"/>
          <w:szCs w:val="24"/>
        </w:rPr>
        <w:t xml:space="preserve">he guest house, bulkhead, </w:t>
      </w:r>
      <w:r w:rsidR="00D26132">
        <w:rPr>
          <w:sz w:val="24"/>
          <w:szCs w:val="24"/>
        </w:rPr>
        <w:t xml:space="preserve">wharfs, </w:t>
      </w:r>
      <w:r w:rsidR="00EC3718">
        <w:rPr>
          <w:sz w:val="24"/>
          <w:szCs w:val="24"/>
        </w:rPr>
        <w:t>boardwalk and Caretaker Residence received a $6 million FEMA funded restoration after damages from Hurri</w:t>
      </w:r>
      <w:r w:rsidR="00CB70D0">
        <w:rPr>
          <w:sz w:val="24"/>
          <w:szCs w:val="24"/>
        </w:rPr>
        <w:t>cane’s Katrina and Rita in 2005, and is in the 36</w:t>
      </w:r>
      <w:r w:rsidR="00CB70D0" w:rsidRPr="00CB70D0">
        <w:rPr>
          <w:sz w:val="24"/>
          <w:szCs w:val="24"/>
          <w:vertAlign w:val="superscript"/>
        </w:rPr>
        <w:t>th</w:t>
      </w:r>
      <w:r w:rsidR="00CB70D0">
        <w:rPr>
          <w:sz w:val="24"/>
          <w:szCs w:val="24"/>
        </w:rPr>
        <w:t xml:space="preserve"> year of a 99-year lease with a</w:t>
      </w:r>
      <w:r w:rsidR="00951857">
        <w:rPr>
          <w:sz w:val="24"/>
          <w:szCs w:val="24"/>
        </w:rPr>
        <w:t xml:space="preserve"> 25-</w:t>
      </w:r>
      <w:r w:rsidR="00CB70D0">
        <w:rPr>
          <w:sz w:val="24"/>
          <w:szCs w:val="24"/>
        </w:rPr>
        <w:t>year option between Southeastern and the Louisiana Department of Wildlife and Fisheries</w:t>
      </w:r>
      <w:r w:rsidR="00951857">
        <w:rPr>
          <w:sz w:val="24"/>
          <w:szCs w:val="24"/>
        </w:rPr>
        <w:t xml:space="preserve"> (LDWF)</w:t>
      </w:r>
      <w:r w:rsidR="00CB70D0">
        <w:rPr>
          <w:sz w:val="24"/>
          <w:szCs w:val="24"/>
        </w:rPr>
        <w:t>.</w:t>
      </w:r>
    </w:p>
    <w:p w:rsidR="00E71EED" w:rsidRDefault="003A5D0C" w:rsidP="00CB70D0">
      <w:pPr>
        <w:spacing w:after="0" w:line="240" w:lineRule="auto"/>
        <w:ind w:firstLine="720"/>
        <w:jc w:val="both"/>
        <w:rPr>
          <w:sz w:val="24"/>
          <w:szCs w:val="24"/>
        </w:rPr>
      </w:pPr>
      <w:r w:rsidRPr="0097013E">
        <w:rPr>
          <w:sz w:val="24"/>
          <w:szCs w:val="24"/>
        </w:rPr>
        <w:t xml:space="preserve">Turtle Cove </w:t>
      </w:r>
      <w:r w:rsidR="008C17C2">
        <w:rPr>
          <w:sz w:val="24"/>
          <w:szCs w:val="24"/>
        </w:rPr>
        <w:t>“</w:t>
      </w:r>
      <w:r w:rsidR="0097013E">
        <w:rPr>
          <w:sz w:val="24"/>
          <w:szCs w:val="24"/>
        </w:rPr>
        <w:t>resources</w:t>
      </w:r>
      <w:r w:rsidR="008C17C2">
        <w:rPr>
          <w:sz w:val="24"/>
          <w:szCs w:val="24"/>
        </w:rPr>
        <w:t>” for purposes of annual</w:t>
      </w:r>
      <w:r w:rsidR="00EC3718">
        <w:rPr>
          <w:sz w:val="24"/>
          <w:szCs w:val="24"/>
        </w:rPr>
        <w:t xml:space="preserve"> Institutional Effectiveness</w:t>
      </w:r>
      <w:r w:rsidR="008C17C2">
        <w:rPr>
          <w:sz w:val="24"/>
          <w:szCs w:val="24"/>
        </w:rPr>
        <w:t xml:space="preserve"> </w:t>
      </w:r>
      <w:r w:rsidR="00CB70D0">
        <w:rPr>
          <w:sz w:val="24"/>
          <w:szCs w:val="24"/>
        </w:rPr>
        <w:t xml:space="preserve">(I.E.) </w:t>
      </w:r>
      <w:r w:rsidR="008C17C2">
        <w:rPr>
          <w:sz w:val="24"/>
          <w:szCs w:val="24"/>
        </w:rPr>
        <w:t>reporting</w:t>
      </w:r>
      <w:r w:rsidR="0097013E">
        <w:rPr>
          <w:sz w:val="24"/>
          <w:szCs w:val="24"/>
        </w:rPr>
        <w:t xml:space="preserve"> </w:t>
      </w:r>
      <w:r w:rsidR="008F3AB1" w:rsidRPr="0097013E">
        <w:rPr>
          <w:sz w:val="24"/>
          <w:szCs w:val="24"/>
        </w:rPr>
        <w:t>include</w:t>
      </w:r>
      <w:r w:rsidR="008C17C2">
        <w:rPr>
          <w:sz w:val="24"/>
          <w:szCs w:val="24"/>
        </w:rPr>
        <w:t>:</w:t>
      </w:r>
      <w:r w:rsidR="00EC3718">
        <w:rPr>
          <w:sz w:val="24"/>
          <w:szCs w:val="24"/>
        </w:rPr>
        <w:t xml:space="preserve"> the two facility sites</w:t>
      </w:r>
      <w:r w:rsidR="008F3AB1" w:rsidRPr="0097013E">
        <w:rPr>
          <w:sz w:val="24"/>
          <w:szCs w:val="24"/>
        </w:rPr>
        <w:t xml:space="preserve"> and</w:t>
      </w:r>
      <w:r w:rsidR="00EC3718">
        <w:rPr>
          <w:sz w:val="24"/>
          <w:szCs w:val="24"/>
        </w:rPr>
        <w:t xml:space="preserve"> related </w:t>
      </w:r>
      <w:r w:rsidR="00F30BF2" w:rsidRPr="0097013E">
        <w:rPr>
          <w:sz w:val="24"/>
          <w:szCs w:val="24"/>
        </w:rPr>
        <w:t xml:space="preserve"> infrastructure</w:t>
      </w:r>
      <w:r w:rsidR="008C17C2">
        <w:rPr>
          <w:sz w:val="24"/>
          <w:szCs w:val="24"/>
        </w:rPr>
        <w:t xml:space="preserve">;  </w:t>
      </w:r>
      <w:r w:rsidR="0097013E">
        <w:rPr>
          <w:sz w:val="24"/>
          <w:szCs w:val="24"/>
        </w:rPr>
        <w:t>staff (2 full-</w:t>
      </w:r>
      <w:r w:rsidR="008F3AB1" w:rsidRPr="0097013E">
        <w:rPr>
          <w:sz w:val="24"/>
          <w:szCs w:val="24"/>
        </w:rPr>
        <w:t>time p</w:t>
      </w:r>
      <w:r w:rsidR="008C17C2">
        <w:rPr>
          <w:sz w:val="24"/>
          <w:szCs w:val="24"/>
        </w:rPr>
        <w:t xml:space="preserve">ositions and two GA positions); </w:t>
      </w:r>
      <w:r w:rsidR="005C175F" w:rsidRPr="0097013E">
        <w:rPr>
          <w:sz w:val="24"/>
          <w:szCs w:val="24"/>
        </w:rPr>
        <w:t xml:space="preserve">fleet of </w:t>
      </w:r>
      <w:r w:rsidR="008F3AB1" w:rsidRPr="0097013E">
        <w:rPr>
          <w:sz w:val="24"/>
          <w:szCs w:val="24"/>
        </w:rPr>
        <w:t>bo</w:t>
      </w:r>
      <w:r w:rsidR="00EC3718">
        <w:rPr>
          <w:sz w:val="24"/>
          <w:szCs w:val="24"/>
        </w:rPr>
        <w:t>ats and motors (10</w:t>
      </w:r>
      <w:r w:rsidR="00016842" w:rsidRPr="0097013E">
        <w:rPr>
          <w:sz w:val="24"/>
          <w:szCs w:val="24"/>
        </w:rPr>
        <w:t xml:space="preserve"> skiffs and mud-boats</w:t>
      </w:r>
      <w:r w:rsidR="00CB70D0">
        <w:rPr>
          <w:sz w:val="24"/>
          <w:szCs w:val="24"/>
        </w:rPr>
        <w:t xml:space="preserve"> of all sizes,</w:t>
      </w:r>
      <w:r w:rsidR="005C175F" w:rsidRPr="0097013E">
        <w:rPr>
          <w:sz w:val="24"/>
          <w:szCs w:val="24"/>
        </w:rPr>
        <w:t xml:space="preserve"> a 40-</w:t>
      </w:r>
      <w:r w:rsidR="008F3AB1" w:rsidRPr="0097013E">
        <w:rPr>
          <w:sz w:val="24"/>
          <w:szCs w:val="24"/>
        </w:rPr>
        <w:t>ft pontoon boat that can transport 35 passengers), and other equipment and supplies (</w:t>
      </w:r>
      <w:r w:rsidR="00F80B00" w:rsidRPr="0097013E">
        <w:rPr>
          <w:sz w:val="24"/>
          <w:szCs w:val="24"/>
        </w:rPr>
        <w:t>i.e.</w:t>
      </w:r>
      <w:r w:rsidR="008F3AB1" w:rsidRPr="0097013E">
        <w:rPr>
          <w:sz w:val="24"/>
          <w:szCs w:val="24"/>
        </w:rPr>
        <w:t xml:space="preserve">, 20 canoes/pirogues, </w:t>
      </w:r>
      <w:r w:rsidR="005C175F" w:rsidRPr="0097013E">
        <w:rPr>
          <w:sz w:val="24"/>
          <w:szCs w:val="24"/>
        </w:rPr>
        <w:t xml:space="preserve">trailers, </w:t>
      </w:r>
      <w:r w:rsidR="008D15D9" w:rsidRPr="0097013E">
        <w:rPr>
          <w:sz w:val="24"/>
          <w:szCs w:val="24"/>
        </w:rPr>
        <w:t>water quality probes/</w:t>
      </w:r>
      <w:r w:rsidR="008F3AB1" w:rsidRPr="0097013E">
        <w:rPr>
          <w:sz w:val="24"/>
          <w:szCs w:val="24"/>
        </w:rPr>
        <w:t>kits</w:t>
      </w:r>
      <w:r w:rsidR="008D15D9" w:rsidRPr="0097013E">
        <w:rPr>
          <w:sz w:val="24"/>
          <w:szCs w:val="24"/>
        </w:rPr>
        <w:t>/dip</w:t>
      </w:r>
      <w:r w:rsidR="00BE54E4" w:rsidRPr="0097013E">
        <w:rPr>
          <w:sz w:val="24"/>
          <w:szCs w:val="24"/>
        </w:rPr>
        <w:t>-</w:t>
      </w:r>
      <w:r w:rsidR="008D15D9" w:rsidRPr="0097013E">
        <w:rPr>
          <w:sz w:val="24"/>
          <w:szCs w:val="24"/>
        </w:rPr>
        <w:t>nets/field guides</w:t>
      </w:r>
      <w:r w:rsidR="00EC3718">
        <w:rPr>
          <w:sz w:val="24"/>
          <w:szCs w:val="24"/>
        </w:rPr>
        <w:t>/microscopes</w:t>
      </w:r>
      <w:r w:rsidR="008F3AB1" w:rsidRPr="0097013E">
        <w:rPr>
          <w:sz w:val="24"/>
          <w:szCs w:val="24"/>
        </w:rPr>
        <w:t>, computers, satellite-internet service</w:t>
      </w:r>
      <w:r w:rsidR="005C175F" w:rsidRPr="0097013E">
        <w:rPr>
          <w:sz w:val="24"/>
          <w:szCs w:val="24"/>
        </w:rPr>
        <w:t xml:space="preserve"> at both sites, </w:t>
      </w:r>
      <w:r w:rsidR="008C17C2">
        <w:rPr>
          <w:sz w:val="24"/>
          <w:szCs w:val="24"/>
        </w:rPr>
        <w:t>and other tangible items</w:t>
      </w:r>
      <w:r w:rsidR="008F3AB1" w:rsidRPr="0097013E">
        <w:rPr>
          <w:sz w:val="24"/>
          <w:szCs w:val="24"/>
        </w:rPr>
        <w:t>)</w:t>
      </w:r>
      <w:r w:rsidR="008C17C2">
        <w:rPr>
          <w:sz w:val="24"/>
          <w:szCs w:val="24"/>
        </w:rPr>
        <w:t>.  All of these resources</w:t>
      </w:r>
      <w:r w:rsidR="008F3AB1" w:rsidRPr="0097013E">
        <w:rPr>
          <w:sz w:val="24"/>
          <w:szCs w:val="24"/>
        </w:rPr>
        <w:t xml:space="preserve"> </w:t>
      </w:r>
      <w:r w:rsidR="008C17C2">
        <w:rPr>
          <w:sz w:val="24"/>
          <w:szCs w:val="24"/>
        </w:rPr>
        <w:t>support</w:t>
      </w:r>
      <w:r w:rsidRPr="0097013E">
        <w:rPr>
          <w:sz w:val="24"/>
          <w:szCs w:val="24"/>
        </w:rPr>
        <w:t xml:space="preserve"> university-related research, education and </w:t>
      </w:r>
      <w:r w:rsidR="00CB70D0">
        <w:rPr>
          <w:sz w:val="24"/>
          <w:szCs w:val="24"/>
        </w:rPr>
        <w:t xml:space="preserve">public </w:t>
      </w:r>
      <w:r w:rsidRPr="0097013E">
        <w:rPr>
          <w:sz w:val="24"/>
          <w:szCs w:val="24"/>
        </w:rPr>
        <w:t>outreach activities and programs</w:t>
      </w:r>
      <w:r w:rsidR="00EC3718">
        <w:rPr>
          <w:sz w:val="24"/>
          <w:szCs w:val="24"/>
        </w:rPr>
        <w:t xml:space="preserve"> for Southeastern </w:t>
      </w:r>
      <w:r w:rsidR="008C17C2">
        <w:rPr>
          <w:sz w:val="24"/>
          <w:szCs w:val="24"/>
        </w:rPr>
        <w:t xml:space="preserve">and its surrounding </w:t>
      </w:r>
      <w:r w:rsidR="00EC3718">
        <w:rPr>
          <w:sz w:val="24"/>
          <w:szCs w:val="24"/>
        </w:rPr>
        <w:t>community of stakeholders and users of Turtle Cove.</w:t>
      </w:r>
    </w:p>
    <w:p w:rsidR="00773BB6" w:rsidRPr="0097013E" w:rsidRDefault="00773BB6" w:rsidP="00CB70D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71EED" w:rsidRPr="0097013E" w:rsidRDefault="00CB70D0" w:rsidP="00313DD8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HIGHLIGHTS OF </w:t>
      </w:r>
      <w:r w:rsidR="00E71EED" w:rsidRPr="0097013E">
        <w:rPr>
          <w:sz w:val="24"/>
          <w:szCs w:val="24"/>
          <w:u w:val="single"/>
        </w:rPr>
        <w:t>USE DATA</w:t>
      </w:r>
    </w:p>
    <w:p w:rsidR="00AB0B3E" w:rsidRDefault="00252779" w:rsidP="00773BB6">
      <w:pPr>
        <w:spacing w:after="0" w:line="240" w:lineRule="auto"/>
        <w:ind w:firstLine="720"/>
        <w:jc w:val="both"/>
        <w:rPr>
          <w:sz w:val="24"/>
          <w:szCs w:val="24"/>
        </w:rPr>
      </w:pPr>
      <w:r w:rsidRPr="0097013E">
        <w:rPr>
          <w:sz w:val="24"/>
          <w:szCs w:val="24"/>
        </w:rPr>
        <w:t xml:space="preserve">Use of </w:t>
      </w:r>
      <w:r w:rsidR="008F3AB1" w:rsidRPr="0097013E">
        <w:rPr>
          <w:sz w:val="24"/>
          <w:szCs w:val="24"/>
        </w:rPr>
        <w:t xml:space="preserve">Turtle Cove resources </w:t>
      </w:r>
      <w:r w:rsidR="00016842" w:rsidRPr="0097013E">
        <w:rPr>
          <w:sz w:val="24"/>
          <w:szCs w:val="24"/>
        </w:rPr>
        <w:t xml:space="preserve">for </w:t>
      </w:r>
      <w:r w:rsidR="00016842" w:rsidRPr="00C57D1B">
        <w:rPr>
          <w:b/>
          <w:sz w:val="24"/>
          <w:szCs w:val="24"/>
        </w:rPr>
        <w:t>r</w:t>
      </w:r>
      <w:r w:rsidR="00C57D1B" w:rsidRPr="00C57D1B">
        <w:rPr>
          <w:b/>
          <w:sz w:val="24"/>
          <w:szCs w:val="24"/>
        </w:rPr>
        <w:t>esearch</w:t>
      </w:r>
      <w:r w:rsidR="00C57D1B">
        <w:rPr>
          <w:sz w:val="24"/>
          <w:szCs w:val="24"/>
        </w:rPr>
        <w:t xml:space="preserve"> </w:t>
      </w:r>
      <w:r w:rsidR="00CB70D0">
        <w:rPr>
          <w:sz w:val="24"/>
          <w:szCs w:val="24"/>
        </w:rPr>
        <w:t>in Calendar</w:t>
      </w:r>
      <w:r w:rsidR="00773BB6">
        <w:rPr>
          <w:sz w:val="24"/>
          <w:szCs w:val="24"/>
        </w:rPr>
        <w:t xml:space="preserve"> </w:t>
      </w:r>
      <w:r w:rsidR="00CB70D0">
        <w:rPr>
          <w:sz w:val="24"/>
          <w:szCs w:val="24"/>
        </w:rPr>
        <w:t xml:space="preserve">Year 2016 </w:t>
      </w:r>
      <w:r w:rsidR="00BD4BE0">
        <w:rPr>
          <w:sz w:val="24"/>
          <w:szCs w:val="24"/>
        </w:rPr>
        <w:t xml:space="preserve">was the highest since 2008 </w:t>
      </w:r>
      <w:r w:rsidR="00C57D1B">
        <w:rPr>
          <w:sz w:val="24"/>
          <w:szCs w:val="24"/>
        </w:rPr>
        <w:t xml:space="preserve">with a total of 488 </w:t>
      </w:r>
      <w:r w:rsidR="00016842" w:rsidRPr="0097013E">
        <w:rPr>
          <w:sz w:val="24"/>
          <w:szCs w:val="24"/>
        </w:rPr>
        <w:t>user-days of activity</w:t>
      </w:r>
      <w:r w:rsidR="00BD4BE0">
        <w:rPr>
          <w:sz w:val="24"/>
          <w:szCs w:val="24"/>
        </w:rPr>
        <w:t xml:space="preserve"> (fourth highest in the post-Katrina era), continuing an </w:t>
      </w:r>
      <w:r w:rsidR="00D26132">
        <w:rPr>
          <w:sz w:val="24"/>
          <w:szCs w:val="24"/>
        </w:rPr>
        <w:t xml:space="preserve">important and desirable </w:t>
      </w:r>
      <w:r w:rsidR="00BD4BE0">
        <w:rPr>
          <w:sz w:val="24"/>
          <w:szCs w:val="24"/>
        </w:rPr>
        <w:t>upward trend over the past several years</w:t>
      </w:r>
      <w:r w:rsidR="00C57D1B">
        <w:rPr>
          <w:sz w:val="24"/>
          <w:szCs w:val="24"/>
        </w:rPr>
        <w:t xml:space="preserve">.  </w:t>
      </w:r>
      <w:r w:rsidR="00EC3718" w:rsidRPr="00C57D1B">
        <w:rPr>
          <w:b/>
          <w:sz w:val="24"/>
          <w:szCs w:val="24"/>
        </w:rPr>
        <w:t>University education</w:t>
      </w:r>
      <w:r w:rsidR="00C57D1B">
        <w:rPr>
          <w:sz w:val="24"/>
          <w:szCs w:val="24"/>
        </w:rPr>
        <w:t xml:space="preserve"> use (832 user-days) was</w:t>
      </w:r>
      <w:r w:rsidR="00EC3718">
        <w:rPr>
          <w:sz w:val="24"/>
          <w:szCs w:val="24"/>
        </w:rPr>
        <w:t xml:space="preserve"> the highest of the </w:t>
      </w:r>
      <w:r w:rsidR="00C57D1B">
        <w:rPr>
          <w:sz w:val="24"/>
          <w:szCs w:val="24"/>
        </w:rPr>
        <w:t>entire 31-</w:t>
      </w:r>
      <w:r w:rsidR="00EC3718">
        <w:rPr>
          <w:sz w:val="24"/>
          <w:szCs w:val="24"/>
        </w:rPr>
        <w:t>year period of Turtle Cove as a Southeastern program.</w:t>
      </w:r>
      <w:r w:rsidR="00016842" w:rsidRPr="0097013E">
        <w:rPr>
          <w:sz w:val="24"/>
          <w:szCs w:val="24"/>
        </w:rPr>
        <w:t xml:space="preserve"> The </w:t>
      </w:r>
      <w:r w:rsidR="00016842" w:rsidRPr="00C57D1B">
        <w:rPr>
          <w:b/>
          <w:sz w:val="24"/>
          <w:szCs w:val="24"/>
        </w:rPr>
        <w:t>public outreach</w:t>
      </w:r>
      <w:r w:rsidR="00C57D1B">
        <w:rPr>
          <w:sz w:val="24"/>
          <w:szCs w:val="24"/>
        </w:rPr>
        <w:t xml:space="preserve"> component</w:t>
      </w:r>
      <w:r w:rsidR="00016842" w:rsidRPr="0097013E">
        <w:rPr>
          <w:sz w:val="24"/>
          <w:szCs w:val="24"/>
        </w:rPr>
        <w:t xml:space="preserve"> </w:t>
      </w:r>
      <w:r w:rsidR="00D26132">
        <w:rPr>
          <w:sz w:val="24"/>
          <w:szCs w:val="24"/>
        </w:rPr>
        <w:t>remained strong at 1,187 user-</w:t>
      </w:r>
      <w:r w:rsidR="00C22775" w:rsidRPr="0097013E">
        <w:rPr>
          <w:sz w:val="24"/>
          <w:szCs w:val="24"/>
        </w:rPr>
        <w:t xml:space="preserve">days of activity, but </w:t>
      </w:r>
      <w:r w:rsidR="00016842" w:rsidRPr="0097013E">
        <w:rPr>
          <w:sz w:val="24"/>
          <w:szCs w:val="24"/>
        </w:rPr>
        <w:t>was lower this year</w:t>
      </w:r>
      <w:r w:rsidR="00C22775" w:rsidRPr="0097013E">
        <w:rPr>
          <w:sz w:val="24"/>
          <w:szCs w:val="24"/>
        </w:rPr>
        <w:t xml:space="preserve"> than last</w:t>
      </w:r>
      <w:r w:rsidR="00BD4BE0">
        <w:rPr>
          <w:sz w:val="24"/>
          <w:szCs w:val="24"/>
        </w:rPr>
        <w:t xml:space="preserve"> mainly due to the </w:t>
      </w:r>
      <w:r w:rsidR="00F80B00">
        <w:rPr>
          <w:sz w:val="24"/>
          <w:szCs w:val="24"/>
        </w:rPr>
        <w:t>Laplace</w:t>
      </w:r>
      <w:r w:rsidR="00BD4BE0">
        <w:rPr>
          <w:sz w:val="24"/>
          <w:szCs w:val="24"/>
        </w:rPr>
        <w:t xml:space="preserve"> </w:t>
      </w:r>
      <w:r w:rsidR="00016842" w:rsidRPr="0097013E">
        <w:rPr>
          <w:sz w:val="24"/>
          <w:szCs w:val="24"/>
        </w:rPr>
        <w:t xml:space="preserve">Tornado and </w:t>
      </w:r>
      <w:r w:rsidR="00C22775" w:rsidRPr="0097013E">
        <w:rPr>
          <w:sz w:val="24"/>
          <w:szCs w:val="24"/>
        </w:rPr>
        <w:t xml:space="preserve">the </w:t>
      </w:r>
      <w:r w:rsidR="00016842" w:rsidRPr="0097013E">
        <w:rPr>
          <w:sz w:val="24"/>
          <w:szCs w:val="24"/>
        </w:rPr>
        <w:t xml:space="preserve">two severe flooding events of March and August which </w:t>
      </w:r>
      <w:r w:rsidR="00BD4BE0">
        <w:rPr>
          <w:sz w:val="24"/>
          <w:szCs w:val="24"/>
        </w:rPr>
        <w:t xml:space="preserve">caused the cancellation of </w:t>
      </w:r>
      <w:r w:rsidR="00D26132">
        <w:rPr>
          <w:sz w:val="24"/>
          <w:szCs w:val="24"/>
        </w:rPr>
        <w:t xml:space="preserve">at least </w:t>
      </w:r>
      <w:r w:rsidR="00BD4BE0">
        <w:rPr>
          <w:sz w:val="24"/>
          <w:szCs w:val="24"/>
        </w:rPr>
        <w:t xml:space="preserve">six </w:t>
      </w:r>
      <w:r w:rsidR="00016842" w:rsidRPr="0097013E">
        <w:rPr>
          <w:sz w:val="24"/>
          <w:szCs w:val="24"/>
        </w:rPr>
        <w:t>groups.  Overall</w:t>
      </w:r>
      <w:r w:rsidR="00C57D1B">
        <w:rPr>
          <w:sz w:val="24"/>
          <w:szCs w:val="24"/>
        </w:rPr>
        <w:t xml:space="preserve"> </w:t>
      </w:r>
      <w:r w:rsidR="00C57D1B" w:rsidRPr="00C57D1B">
        <w:rPr>
          <w:b/>
          <w:sz w:val="24"/>
          <w:szCs w:val="24"/>
        </w:rPr>
        <w:t>total</w:t>
      </w:r>
      <w:r w:rsidR="00016842" w:rsidRPr="0097013E">
        <w:rPr>
          <w:sz w:val="24"/>
          <w:szCs w:val="24"/>
        </w:rPr>
        <w:t xml:space="preserve"> user-days of activity for all categories totaled 2,507</w:t>
      </w:r>
      <w:r w:rsidR="00C57D1B">
        <w:rPr>
          <w:sz w:val="24"/>
          <w:szCs w:val="24"/>
        </w:rPr>
        <w:t>, the third</w:t>
      </w:r>
      <w:r w:rsidR="00C22775" w:rsidRPr="0097013E">
        <w:rPr>
          <w:sz w:val="24"/>
          <w:szCs w:val="24"/>
        </w:rPr>
        <w:t xml:space="preserve"> highest</w:t>
      </w:r>
      <w:r w:rsidR="00C57D1B">
        <w:rPr>
          <w:sz w:val="24"/>
          <w:szCs w:val="24"/>
        </w:rPr>
        <w:t xml:space="preserve"> year</w:t>
      </w:r>
      <w:r w:rsidR="00AB0B3E">
        <w:rPr>
          <w:sz w:val="24"/>
          <w:szCs w:val="24"/>
        </w:rPr>
        <w:t xml:space="preserve"> in the post-Katrina era</w:t>
      </w:r>
      <w:r w:rsidR="00BD4BE0">
        <w:rPr>
          <w:sz w:val="24"/>
          <w:szCs w:val="24"/>
        </w:rPr>
        <w:t xml:space="preserve"> and fourth highest in the 31-year history of the station</w:t>
      </w:r>
      <w:r w:rsidR="00AB0B3E">
        <w:rPr>
          <w:sz w:val="24"/>
          <w:szCs w:val="24"/>
        </w:rPr>
        <w:t>.</w:t>
      </w:r>
      <w:r w:rsidR="00BD4BE0">
        <w:rPr>
          <w:sz w:val="24"/>
          <w:szCs w:val="24"/>
        </w:rPr>
        <w:t xml:space="preserve"> The above mentioned weather events </w:t>
      </w:r>
      <w:r w:rsidR="00D26132">
        <w:rPr>
          <w:sz w:val="24"/>
          <w:szCs w:val="24"/>
        </w:rPr>
        <w:t xml:space="preserve">in-part </w:t>
      </w:r>
      <w:r w:rsidR="00BD4BE0">
        <w:rPr>
          <w:sz w:val="24"/>
          <w:szCs w:val="24"/>
        </w:rPr>
        <w:t>prevented 2016 from being perhap</w:t>
      </w:r>
      <w:r w:rsidR="00AF1EED">
        <w:rPr>
          <w:sz w:val="24"/>
          <w:szCs w:val="24"/>
        </w:rPr>
        <w:t>s our most successful year ever overall.</w:t>
      </w:r>
    </w:p>
    <w:p w:rsidR="00AB0B3E" w:rsidRDefault="00C22775" w:rsidP="00AB0B3E">
      <w:pPr>
        <w:spacing w:after="0" w:line="240" w:lineRule="auto"/>
        <w:ind w:firstLine="720"/>
        <w:jc w:val="both"/>
        <w:rPr>
          <w:sz w:val="24"/>
          <w:szCs w:val="24"/>
        </w:rPr>
      </w:pPr>
      <w:r w:rsidRPr="0097013E">
        <w:rPr>
          <w:sz w:val="24"/>
          <w:szCs w:val="24"/>
        </w:rPr>
        <w:t>In summary for Calendar Year 2016</w:t>
      </w:r>
      <w:r w:rsidR="00252779" w:rsidRPr="0097013E">
        <w:rPr>
          <w:sz w:val="24"/>
          <w:szCs w:val="24"/>
        </w:rPr>
        <w:t xml:space="preserve">, </w:t>
      </w:r>
      <w:r w:rsidR="00831F86" w:rsidRPr="0097013E">
        <w:rPr>
          <w:sz w:val="24"/>
          <w:szCs w:val="24"/>
        </w:rPr>
        <w:t xml:space="preserve">Turtle Cove resources supported </w:t>
      </w:r>
      <w:r w:rsidRPr="0097013E">
        <w:rPr>
          <w:sz w:val="24"/>
          <w:szCs w:val="24"/>
        </w:rPr>
        <w:t>102</w:t>
      </w:r>
      <w:r w:rsidR="00EE4BAA" w:rsidRPr="0097013E">
        <w:rPr>
          <w:sz w:val="24"/>
          <w:szCs w:val="24"/>
        </w:rPr>
        <w:t xml:space="preserve"> different </w:t>
      </w:r>
      <w:r w:rsidR="00D26132">
        <w:rPr>
          <w:sz w:val="24"/>
          <w:szCs w:val="24"/>
        </w:rPr>
        <w:t xml:space="preserve">and distinct </w:t>
      </w:r>
      <w:r w:rsidR="00EE4BAA" w:rsidRPr="0097013E">
        <w:rPr>
          <w:sz w:val="24"/>
          <w:szCs w:val="24"/>
        </w:rPr>
        <w:t xml:space="preserve">groups of users totaling </w:t>
      </w:r>
      <w:r w:rsidRPr="0097013E">
        <w:rPr>
          <w:sz w:val="24"/>
          <w:szCs w:val="24"/>
        </w:rPr>
        <w:t>2,126</w:t>
      </w:r>
      <w:r w:rsidR="00252779" w:rsidRPr="0097013E">
        <w:rPr>
          <w:sz w:val="24"/>
          <w:szCs w:val="24"/>
        </w:rPr>
        <w:t xml:space="preserve"> different individuals</w:t>
      </w:r>
      <w:r w:rsidR="00D26132">
        <w:rPr>
          <w:sz w:val="24"/>
          <w:szCs w:val="24"/>
        </w:rPr>
        <w:t xml:space="preserve"> and 2,507 user-</w:t>
      </w:r>
      <w:r w:rsidRPr="0097013E">
        <w:rPr>
          <w:sz w:val="24"/>
          <w:szCs w:val="24"/>
        </w:rPr>
        <w:t>days</w:t>
      </w:r>
      <w:r w:rsidR="00C57D1B">
        <w:rPr>
          <w:sz w:val="24"/>
          <w:szCs w:val="24"/>
        </w:rPr>
        <w:t xml:space="preserve"> of activity</w:t>
      </w:r>
      <w:r w:rsidRPr="0097013E">
        <w:rPr>
          <w:sz w:val="24"/>
          <w:szCs w:val="24"/>
        </w:rPr>
        <w:t>. The n</w:t>
      </w:r>
      <w:r w:rsidR="00831F86" w:rsidRPr="0097013E">
        <w:rPr>
          <w:i/>
          <w:sz w:val="24"/>
          <w:szCs w:val="24"/>
        </w:rPr>
        <w:t>umber of groups</w:t>
      </w:r>
      <w:r w:rsidR="00831F86" w:rsidRPr="0097013E">
        <w:rPr>
          <w:sz w:val="24"/>
          <w:szCs w:val="24"/>
        </w:rPr>
        <w:t xml:space="preserve">, </w:t>
      </w:r>
      <w:r w:rsidR="00831F86" w:rsidRPr="0097013E">
        <w:rPr>
          <w:i/>
          <w:sz w:val="24"/>
          <w:szCs w:val="24"/>
        </w:rPr>
        <w:t>number of</w:t>
      </w:r>
      <w:r w:rsidR="00831F86" w:rsidRPr="0097013E">
        <w:rPr>
          <w:sz w:val="24"/>
          <w:szCs w:val="24"/>
        </w:rPr>
        <w:t xml:space="preserve"> </w:t>
      </w:r>
      <w:r w:rsidR="00831F86" w:rsidRPr="0097013E">
        <w:rPr>
          <w:i/>
          <w:sz w:val="24"/>
          <w:szCs w:val="24"/>
        </w:rPr>
        <w:t>different individuals</w:t>
      </w:r>
      <w:r w:rsidR="00831F86" w:rsidRPr="0097013E">
        <w:rPr>
          <w:sz w:val="24"/>
          <w:szCs w:val="24"/>
        </w:rPr>
        <w:t xml:space="preserve">, and </w:t>
      </w:r>
      <w:r w:rsidR="00D26132">
        <w:rPr>
          <w:i/>
          <w:sz w:val="24"/>
          <w:szCs w:val="24"/>
        </w:rPr>
        <w:t>number of user-</w:t>
      </w:r>
      <w:r w:rsidR="00831F86" w:rsidRPr="0097013E">
        <w:rPr>
          <w:i/>
          <w:sz w:val="24"/>
          <w:szCs w:val="24"/>
        </w:rPr>
        <w:t>days</w:t>
      </w:r>
      <w:r w:rsidR="00AF1EED">
        <w:rPr>
          <w:sz w:val="24"/>
          <w:szCs w:val="24"/>
        </w:rPr>
        <w:t xml:space="preserve"> produced, respectively, </w:t>
      </w:r>
      <w:r w:rsidRPr="0097013E">
        <w:rPr>
          <w:sz w:val="24"/>
          <w:szCs w:val="24"/>
        </w:rPr>
        <w:t xml:space="preserve">were as follows: </w:t>
      </w:r>
      <w:r w:rsidR="00831F86" w:rsidRPr="0097013E">
        <w:rPr>
          <w:sz w:val="24"/>
          <w:szCs w:val="24"/>
        </w:rPr>
        <w:t>RESEARCH (</w:t>
      </w:r>
      <w:r w:rsidRPr="0097013E">
        <w:rPr>
          <w:i/>
          <w:sz w:val="24"/>
          <w:szCs w:val="24"/>
        </w:rPr>
        <w:t>25, 258, 488</w:t>
      </w:r>
      <w:r w:rsidR="00831F86" w:rsidRPr="0097013E">
        <w:rPr>
          <w:sz w:val="24"/>
          <w:szCs w:val="24"/>
        </w:rPr>
        <w:t xml:space="preserve">); EDUCATION </w:t>
      </w:r>
      <w:r w:rsidR="00773BB6">
        <w:rPr>
          <w:i/>
          <w:sz w:val="24"/>
          <w:szCs w:val="24"/>
        </w:rPr>
        <w:t>(27, 727, 832</w:t>
      </w:r>
      <w:r w:rsidR="00831F86" w:rsidRPr="0097013E">
        <w:rPr>
          <w:sz w:val="24"/>
          <w:szCs w:val="24"/>
        </w:rPr>
        <w:t>); and PUBLIC OUTREACH (</w:t>
      </w:r>
      <w:r w:rsidR="00773BB6">
        <w:rPr>
          <w:i/>
          <w:sz w:val="24"/>
          <w:szCs w:val="24"/>
        </w:rPr>
        <w:t>50, 1</w:t>
      </w:r>
      <w:r w:rsidRPr="0097013E">
        <w:rPr>
          <w:i/>
          <w:sz w:val="24"/>
          <w:szCs w:val="24"/>
        </w:rPr>
        <w:t>141, 1187</w:t>
      </w:r>
      <w:r w:rsidRPr="0097013E">
        <w:rPr>
          <w:sz w:val="24"/>
          <w:szCs w:val="24"/>
        </w:rPr>
        <w:t>).</w:t>
      </w:r>
      <w:r w:rsidR="0097013E" w:rsidRPr="0097013E">
        <w:rPr>
          <w:noProof/>
          <w:sz w:val="24"/>
          <w:szCs w:val="24"/>
        </w:rPr>
        <w:t xml:space="preserve"> </w:t>
      </w:r>
      <w:r w:rsidR="00AB0B3E">
        <w:rPr>
          <w:noProof/>
          <w:sz w:val="24"/>
          <w:szCs w:val="24"/>
        </w:rPr>
        <w:t xml:space="preserve"> The history of  use of Turtle Cove, from its inception as Southeastern’s primary environmental research station in 1981 (activities began</w:t>
      </w:r>
      <w:r w:rsidR="00AF1EED">
        <w:rPr>
          <w:noProof/>
          <w:sz w:val="24"/>
          <w:szCs w:val="24"/>
        </w:rPr>
        <w:t xml:space="preserve"> in earnest</w:t>
      </w:r>
      <w:r w:rsidR="00AB0B3E">
        <w:rPr>
          <w:noProof/>
          <w:sz w:val="24"/>
          <w:szCs w:val="24"/>
        </w:rPr>
        <w:t xml:space="preserve"> in 1985) is presented in </w:t>
      </w:r>
      <w:r w:rsidR="00AB0B3E" w:rsidRPr="00AB0B3E">
        <w:rPr>
          <w:noProof/>
          <w:sz w:val="24"/>
          <w:szCs w:val="24"/>
          <w:u w:val="single"/>
        </w:rPr>
        <w:t>Figure 1</w:t>
      </w:r>
      <w:r w:rsidR="004E58B9">
        <w:rPr>
          <w:noProof/>
          <w:sz w:val="24"/>
          <w:szCs w:val="24"/>
        </w:rPr>
        <w:t xml:space="preserve"> below.  Note that significant drops in use </w:t>
      </w:r>
      <w:r w:rsidR="00AF1EED">
        <w:rPr>
          <w:noProof/>
          <w:sz w:val="24"/>
          <w:szCs w:val="24"/>
        </w:rPr>
        <w:t>are usually a</w:t>
      </w:r>
      <w:r w:rsidR="00AB0B3E">
        <w:rPr>
          <w:noProof/>
          <w:sz w:val="24"/>
          <w:szCs w:val="24"/>
        </w:rPr>
        <w:t>associated with extreme weather events such a</w:t>
      </w:r>
      <w:r w:rsidR="004E58B9">
        <w:rPr>
          <w:noProof/>
          <w:sz w:val="24"/>
          <w:szCs w:val="24"/>
        </w:rPr>
        <w:t>s hurricanes</w:t>
      </w:r>
      <w:r w:rsidR="00AF1EED">
        <w:rPr>
          <w:noProof/>
          <w:sz w:val="24"/>
          <w:szCs w:val="24"/>
        </w:rPr>
        <w:t xml:space="preserve"> and floods</w:t>
      </w:r>
      <w:r w:rsidR="004E58B9">
        <w:rPr>
          <w:noProof/>
          <w:sz w:val="24"/>
          <w:szCs w:val="24"/>
        </w:rPr>
        <w:t xml:space="preserve"> (i.e., Hurricanes’ Katrina and</w:t>
      </w:r>
      <w:r w:rsidR="00AB0B3E">
        <w:rPr>
          <w:noProof/>
          <w:sz w:val="24"/>
          <w:szCs w:val="24"/>
        </w:rPr>
        <w:t xml:space="preserve"> Rita in 2005, Gustav and Ike in 2008,</w:t>
      </w:r>
      <w:r w:rsidR="00773BB6">
        <w:rPr>
          <w:noProof/>
          <w:sz w:val="24"/>
          <w:szCs w:val="24"/>
        </w:rPr>
        <w:t xml:space="preserve"> Issac in 2012, and the tornado</w:t>
      </w:r>
      <w:r w:rsidR="00AB0B3E">
        <w:rPr>
          <w:noProof/>
          <w:sz w:val="24"/>
          <w:szCs w:val="24"/>
        </w:rPr>
        <w:t xml:space="preserve"> and floo</w:t>
      </w:r>
      <w:r w:rsidR="004E58B9">
        <w:rPr>
          <w:noProof/>
          <w:sz w:val="24"/>
          <w:szCs w:val="24"/>
        </w:rPr>
        <w:t>d</w:t>
      </w:r>
      <w:r w:rsidR="00AB0B3E">
        <w:rPr>
          <w:noProof/>
          <w:sz w:val="24"/>
          <w:szCs w:val="24"/>
        </w:rPr>
        <w:t xml:space="preserve">s in 2016).  </w:t>
      </w:r>
      <w:r w:rsidR="00AB0B3E" w:rsidRPr="00AB0B3E">
        <w:rPr>
          <w:noProof/>
          <w:sz w:val="24"/>
          <w:szCs w:val="24"/>
          <w:u w:val="single"/>
        </w:rPr>
        <w:t>Figure 2</w:t>
      </w:r>
      <w:r w:rsidR="00AB0B3E">
        <w:rPr>
          <w:noProof/>
          <w:sz w:val="24"/>
          <w:szCs w:val="24"/>
        </w:rPr>
        <w:t xml:space="preserve"> that follows represents the breakdown of use amongst categories over this same time period.</w:t>
      </w:r>
    </w:p>
    <w:p w:rsidR="0097013E" w:rsidRPr="00AB0B3E" w:rsidRDefault="0097013E" w:rsidP="00AB0B3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198755</wp:posOffset>
            </wp:positionV>
            <wp:extent cx="6896100" cy="41148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1EC" w:rsidRPr="00AF1EED" w:rsidRDefault="00AF1EED" w:rsidP="00AF1EED">
      <w:pPr>
        <w:spacing w:after="0" w:line="240" w:lineRule="auto"/>
        <w:jc w:val="both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48325" cy="2562225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1EC" w:rsidRPr="006671EC" w:rsidRDefault="006671EC" w:rsidP="006671EC">
      <w:pPr>
        <w:spacing w:after="0" w:line="240" w:lineRule="auto"/>
        <w:jc w:val="both"/>
        <w:rPr>
          <w:sz w:val="24"/>
          <w:szCs w:val="24"/>
          <w:u w:val="single"/>
        </w:rPr>
      </w:pPr>
      <w:r w:rsidRPr="006671EC">
        <w:rPr>
          <w:sz w:val="24"/>
          <w:szCs w:val="24"/>
          <w:u w:val="single"/>
        </w:rPr>
        <w:t>SATISFACTION SURVEY</w:t>
      </w:r>
    </w:p>
    <w:p w:rsidR="001F22A6" w:rsidRPr="00130223" w:rsidRDefault="0029480F" w:rsidP="002D748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Our annual year-end “satisfaction survey” was again</w:t>
      </w:r>
      <w:r w:rsidR="00ED631A" w:rsidRPr="00130223">
        <w:rPr>
          <w:sz w:val="24"/>
          <w:szCs w:val="24"/>
        </w:rPr>
        <w:t xml:space="preserve"> overwhelmingly positive in that </w:t>
      </w:r>
      <w:r w:rsidR="003E118C" w:rsidRPr="00130223">
        <w:rPr>
          <w:sz w:val="24"/>
          <w:szCs w:val="24"/>
        </w:rPr>
        <w:t>all</w:t>
      </w:r>
      <w:r w:rsidR="00ED631A" w:rsidRPr="00130223">
        <w:rPr>
          <w:sz w:val="24"/>
          <w:szCs w:val="24"/>
        </w:rPr>
        <w:t xml:space="preserve"> respondents give us a </w:t>
      </w:r>
      <w:r>
        <w:rPr>
          <w:sz w:val="24"/>
          <w:szCs w:val="24"/>
        </w:rPr>
        <w:t xml:space="preserve">score of </w:t>
      </w:r>
      <w:r w:rsidR="00ED631A" w:rsidRPr="00130223">
        <w:rPr>
          <w:sz w:val="24"/>
          <w:szCs w:val="24"/>
        </w:rPr>
        <w:t xml:space="preserve">4 or 5 out of </w:t>
      </w:r>
      <w:r>
        <w:rPr>
          <w:sz w:val="24"/>
          <w:szCs w:val="24"/>
        </w:rPr>
        <w:t>“</w:t>
      </w:r>
      <w:r w:rsidR="00ED631A" w:rsidRPr="00130223">
        <w:rPr>
          <w:sz w:val="24"/>
          <w:szCs w:val="24"/>
        </w:rPr>
        <w:t>5</w:t>
      </w:r>
      <w:r>
        <w:rPr>
          <w:sz w:val="24"/>
          <w:szCs w:val="24"/>
        </w:rPr>
        <w:t>”</w:t>
      </w:r>
      <w:r w:rsidR="00ED631A" w:rsidRPr="00130223">
        <w:rPr>
          <w:sz w:val="24"/>
          <w:szCs w:val="24"/>
        </w:rPr>
        <w:t xml:space="preserve"> possible points for “overall satisfaction with Turtle Cove resources.”</w:t>
      </w:r>
      <w:r w:rsidR="00A35360">
        <w:rPr>
          <w:sz w:val="24"/>
          <w:szCs w:val="24"/>
        </w:rPr>
        <w:t xml:space="preserve"> </w:t>
      </w:r>
      <w:r w:rsidR="004E58B9">
        <w:rPr>
          <w:sz w:val="24"/>
          <w:szCs w:val="24"/>
        </w:rPr>
        <w:t xml:space="preserve">On a scale of 1-5 (1 being lowest, and 5 being highest), 18 of 21 respondents rated us as a 5 (“Very Satisfied”), with one respondent rating a “4” and two respondents rating “N/A.” </w:t>
      </w:r>
      <w:r w:rsidR="000945E1">
        <w:rPr>
          <w:sz w:val="24"/>
          <w:szCs w:val="24"/>
        </w:rPr>
        <w:t>These figures are comparable to all prior year’s results from the annual satisfaction survey.</w:t>
      </w:r>
    </w:p>
    <w:p w:rsidR="0084194D" w:rsidRPr="00130223" w:rsidRDefault="0084194D" w:rsidP="0064499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71EED" w:rsidRPr="00130223" w:rsidRDefault="00E71EED" w:rsidP="00313DD8">
      <w:pPr>
        <w:spacing w:after="0" w:line="240" w:lineRule="auto"/>
        <w:jc w:val="both"/>
        <w:rPr>
          <w:sz w:val="24"/>
          <w:szCs w:val="24"/>
          <w:u w:val="single"/>
        </w:rPr>
      </w:pPr>
      <w:r w:rsidRPr="00130223">
        <w:rPr>
          <w:sz w:val="24"/>
          <w:szCs w:val="24"/>
          <w:u w:val="single"/>
        </w:rPr>
        <w:t>SELF-GENERATING FUNDS</w:t>
      </w:r>
    </w:p>
    <w:p w:rsidR="002C208B" w:rsidRDefault="004E58B9" w:rsidP="00AF1EE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More than ever, </w:t>
      </w:r>
      <w:r w:rsidR="00A83FFC" w:rsidRPr="00130223">
        <w:rPr>
          <w:sz w:val="24"/>
          <w:szCs w:val="24"/>
        </w:rPr>
        <w:t>Turtle Cove con</w:t>
      </w:r>
      <w:r w:rsidR="00F25BCD" w:rsidRPr="00130223">
        <w:rPr>
          <w:sz w:val="24"/>
          <w:szCs w:val="24"/>
        </w:rPr>
        <w:t>tinues to emphasize</w:t>
      </w:r>
      <w:r w:rsidR="00A83FFC" w:rsidRPr="00130223">
        <w:rPr>
          <w:sz w:val="24"/>
          <w:szCs w:val="24"/>
        </w:rPr>
        <w:t xml:space="preserve"> generati</w:t>
      </w:r>
      <w:r w:rsidR="009F2625">
        <w:rPr>
          <w:sz w:val="24"/>
          <w:szCs w:val="24"/>
        </w:rPr>
        <w:t>ng funds from external sources outside of the university’s operating budget</w:t>
      </w:r>
      <w:r w:rsidR="00A83FFC" w:rsidRPr="00130223">
        <w:rPr>
          <w:sz w:val="24"/>
          <w:szCs w:val="24"/>
        </w:rPr>
        <w:t xml:space="preserve">.  </w:t>
      </w:r>
      <w:r w:rsidR="00AF1EED">
        <w:rPr>
          <w:sz w:val="24"/>
          <w:szCs w:val="24"/>
        </w:rPr>
        <w:t>Calendar Year 2016</w:t>
      </w:r>
      <w:r w:rsidR="0029480F">
        <w:rPr>
          <w:sz w:val="24"/>
          <w:szCs w:val="24"/>
        </w:rPr>
        <w:t xml:space="preserve"> produced a non-fundraiser-</w:t>
      </w:r>
      <w:r w:rsidR="00AF1EED">
        <w:rPr>
          <w:sz w:val="24"/>
          <w:szCs w:val="24"/>
        </w:rPr>
        <w:t xml:space="preserve">year record </w:t>
      </w:r>
      <w:r w:rsidR="009F2625">
        <w:rPr>
          <w:sz w:val="24"/>
          <w:szCs w:val="24"/>
        </w:rPr>
        <w:t xml:space="preserve">of $14,331.69 in such </w:t>
      </w:r>
      <w:r w:rsidR="00AF1EED">
        <w:rPr>
          <w:sz w:val="24"/>
          <w:szCs w:val="24"/>
        </w:rPr>
        <w:t xml:space="preserve">funding.  </w:t>
      </w:r>
      <w:r>
        <w:rPr>
          <w:sz w:val="24"/>
          <w:szCs w:val="24"/>
        </w:rPr>
        <w:t>Activities that all</w:t>
      </w:r>
      <w:r w:rsidR="00AF1EED">
        <w:rPr>
          <w:sz w:val="24"/>
          <w:szCs w:val="24"/>
        </w:rPr>
        <w:t xml:space="preserve">ow for self-generation of funds, and amounts of funds generated in 2016, </w:t>
      </w:r>
      <w:r>
        <w:rPr>
          <w:sz w:val="24"/>
          <w:szCs w:val="24"/>
        </w:rPr>
        <w:t>include: gas and facility-use donations for researcher use of Turtle Cove equipment and facilities</w:t>
      </w:r>
      <w:r w:rsidR="00AF1EED">
        <w:rPr>
          <w:sz w:val="24"/>
          <w:szCs w:val="24"/>
        </w:rPr>
        <w:t xml:space="preserve"> ($5,200)</w:t>
      </w:r>
      <w:r>
        <w:rPr>
          <w:sz w:val="24"/>
          <w:szCs w:val="24"/>
        </w:rPr>
        <w:t>; donations received from field trip activities for university education, K-12 school groups, and other general groups</w:t>
      </w:r>
      <w:r w:rsidR="009F2625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are able to provide a donation for their </w:t>
      </w:r>
      <w:r w:rsidR="009F2625">
        <w:rPr>
          <w:sz w:val="24"/>
          <w:szCs w:val="24"/>
        </w:rPr>
        <w:t xml:space="preserve">field trip </w:t>
      </w:r>
      <w:r>
        <w:rPr>
          <w:sz w:val="24"/>
          <w:szCs w:val="24"/>
        </w:rPr>
        <w:t xml:space="preserve">experience </w:t>
      </w:r>
      <w:r w:rsidR="00AF1EED">
        <w:rPr>
          <w:sz w:val="24"/>
          <w:szCs w:val="24"/>
        </w:rPr>
        <w:t>($7,606)</w:t>
      </w:r>
      <w:r>
        <w:rPr>
          <w:sz w:val="24"/>
          <w:szCs w:val="24"/>
        </w:rPr>
        <w:t xml:space="preserve">; sales of Turtle </w:t>
      </w:r>
      <w:r w:rsidR="00AF1EED">
        <w:rPr>
          <w:sz w:val="24"/>
          <w:szCs w:val="24"/>
        </w:rPr>
        <w:t>Cove-specific logo merchandise ($200)</w:t>
      </w:r>
      <w:r>
        <w:rPr>
          <w:sz w:val="24"/>
          <w:szCs w:val="24"/>
        </w:rPr>
        <w:t xml:space="preserve">, and; annual endowment </w:t>
      </w:r>
      <w:r w:rsidR="0029480F">
        <w:rPr>
          <w:sz w:val="24"/>
          <w:szCs w:val="24"/>
        </w:rPr>
        <w:t>net-</w:t>
      </w:r>
      <w:r>
        <w:rPr>
          <w:sz w:val="24"/>
          <w:szCs w:val="24"/>
        </w:rPr>
        <w:t xml:space="preserve">revenue from three Turtle Cove-specified </w:t>
      </w:r>
      <w:r w:rsidR="009F2625">
        <w:rPr>
          <w:sz w:val="24"/>
          <w:szCs w:val="24"/>
        </w:rPr>
        <w:t xml:space="preserve">endowments </w:t>
      </w:r>
      <w:r>
        <w:rPr>
          <w:sz w:val="24"/>
          <w:szCs w:val="24"/>
        </w:rPr>
        <w:t>managed b</w:t>
      </w:r>
      <w:r w:rsidR="000945E1">
        <w:rPr>
          <w:sz w:val="24"/>
          <w:szCs w:val="24"/>
        </w:rPr>
        <w:t>y the Southeastern Foundation</w:t>
      </w:r>
      <w:r w:rsidR="00AF1EED">
        <w:rPr>
          <w:sz w:val="24"/>
          <w:szCs w:val="24"/>
        </w:rPr>
        <w:t xml:space="preserve"> ($1,325)</w:t>
      </w:r>
      <w:r w:rsidR="000945E1">
        <w:rPr>
          <w:sz w:val="24"/>
          <w:szCs w:val="24"/>
        </w:rPr>
        <w:t>.  In addition, approximately every 2-3 years, a formal fundraiser is now</w:t>
      </w:r>
      <w:r w:rsidR="009F2625">
        <w:rPr>
          <w:sz w:val="24"/>
          <w:szCs w:val="24"/>
        </w:rPr>
        <w:t xml:space="preserve"> held </w:t>
      </w:r>
      <w:r w:rsidR="000945E1">
        <w:rPr>
          <w:sz w:val="24"/>
          <w:szCs w:val="24"/>
        </w:rPr>
        <w:t xml:space="preserve">that generates funds through the </w:t>
      </w:r>
      <w:r w:rsidR="00AF1EED">
        <w:rPr>
          <w:sz w:val="24"/>
          <w:szCs w:val="24"/>
        </w:rPr>
        <w:t xml:space="preserve">sale of tickets </w:t>
      </w:r>
      <w:bookmarkStart w:id="0" w:name="_GoBack"/>
      <w:bookmarkEnd w:id="0"/>
      <w:r w:rsidR="00AF1EED">
        <w:rPr>
          <w:sz w:val="24"/>
          <w:szCs w:val="24"/>
        </w:rPr>
        <w:t xml:space="preserve">for an entertainment event at the station, </w:t>
      </w:r>
      <w:r w:rsidR="000945E1">
        <w:rPr>
          <w:sz w:val="24"/>
          <w:szCs w:val="24"/>
        </w:rPr>
        <w:t xml:space="preserve">sponsorship of Turtle Cove boardwalk signs, a silent auction, and other activities (the first fundraiser in 2014 produced a net-revenue </w:t>
      </w:r>
      <w:r w:rsidR="00AF1EED">
        <w:rPr>
          <w:sz w:val="24"/>
          <w:szCs w:val="24"/>
        </w:rPr>
        <w:t xml:space="preserve">gain </w:t>
      </w:r>
      <w:r w:rsidR="000945E1">
        <w:rPr>
          <w:sz w:val="24"/>
          <w:szCs w:val="24"/>
        </w:rPr>
        <w:t>of $21,000).</w:t>
      </w:r>
      <w:r w:rsidR="00AF1EED">
        <w:rPr>
          <w:sz w:val="24"/>
          <w:szCs w:val="24"/>
        </w:rPr>
        <w:t xml:space="preserve"> </w:t>
      </w:r>
      <w:r w:rsidR="00EA0107">
        <w:rPr>
          <w:sz w:val="24"/>
          <w:szCs w:val="24"/>
        </w:rPr>
        <w:t>The next formal fundraiser for Turtle Cove is scheduled for Octobe</w:t>
      </w:r>
      <w:r w:rsidR="009F2625">
        <w:rPr>
          <w:sz w:val="24"/>
          <w:szCs w:val="24"/>
        </w:rPr>
        <w:t>r 28, 2017</w:t>
      </w:r>
      <w:r w:rsidR="0029480F">
        <w:rPr>
          <w:sz w:val="24"/>
          <w:szCs w:val="24"/>
        </w:rPr>
        <w:t xml:space="preserve"> with the theme being the</w:t>
      </w:r>
      <w:r w:rsidR="00AF1EED">
        <w:rPr>
          <w:sz w:val="24"/>
          <w:szCs w:val="24"/>
        </w:rPr>
        <w:t xml:space="preserve"> first public showing of the Manchac/Turtle Cove Artifacts Exhibit</w:t>
      </w:r>
      <w:r w:rsidR="0029480F">
        <w:rPr>
          <w:sz w:val="24"/>
          <w:szCs w:val="24"/>
        </w:rPr>
        <w:t>, a special project that has been designed primarily for the Manchac and Turtle Cove communities.</w:t>
      </w:r>
    </w:p>
    <w:p w:rsidR="006671EC" w:rsidRPr="00130223" w:rsidRDefault="006671EC" w:rsidP="00AB4EC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71EED" w:rsidRPr="00130223" w:rsidRDefault="00E71EED" w:rsidP="00313DD8">
      <w:pPr>
        <w:spacing w:after="0" w:line="240" w:lineRule="auto"/>
        <w:jc w:val="both"/>
        <w:rPr>
          <w:sz w:val="24"/>
          <w:szCs w:val="24"/>
          <w:u w:val="single"/>
        </w:rPr>
      </w:pPr>
      <w:r w:rsidRPr="00130223">
        <w:rPr>
          <w:sz w:val="24"/>
          <w:szCs w:val="24"/>
          <w:u w:val="single"/>
        </w:rPr>
        <w:t>BOATING SAFETY</w:t>
      </w:r>
    </w:p>
    <w:p w:rsidR="00F30BF2" w:rsidRPr="00130223" w:rsidRDefault="00754DAE" w:rsidP="0084194D">
      <w:pPr>
        <w:spacing w:after="0" w:line="240" w:lineRule="auto"/>
        <w:ind w:firstLine="720"/>
        <w:jc w:val="both"/>
        <w:rPr>
          <w:sz w:val="24"/>
          <w:szCs w:val="24"/>
        </w:rPr>
      </w:pPr>
      <w:r w:rsidRPr="00130223">
        <w:rPr>
          <w:sz w:val="24"/>
          <w:szCs w:val="24"/>
        </w:rPr>
        <w:t>Finally, and as always most importantly, another year of work was conducted in a water based-environment at Turtle Cove without incident in terms of health and safety issues</w:t>
      </w:r>
      <w:r w:rsidR="003A5D0C" w:rsidRPr="00130223">
        <w:rPr>
          <w:sz w:val="24"/>
          <w:szCs w:val="24"/>
        </w:rPr>
        <w:t xml:space="preserve"> (i.e., “boating safety”)</w:t>
      </w:r>
      <w:r w:rsidRPr="00130223">
        <w:rPr>
          <w:sz w:val="24"/>
          <w:szCs w:val="24"/>
        </w:rPr>
        <w:t xml:space="preserve"> for all users of Turtle Cove resources, including </w:t>
      </w:r>
      <w:r w:rsidR="006F2E92" w:rsidRPr="00130223">
        <w:rPr>
          <w:sz w:val="24"/>
          <w:szCs w:val="24"/>
        </w:rPr>
        <w:t xml:space="preserve">university </w:t>
      </w:r>
      <w:r w:rsidRPr="00130223">
        <w:rPr>
          <w:sz w:val="24"/>
          <w:szCs w:val="24"/>
        </w:rPr>
        <w:t>faculty, staff and students</w:t>
      </w:r>
      <w:r w:rsidR="006F2E92" w:rsidRPr="00130223">
        <w:rPr>
          <w:sz w:val="24"/>
          <w:szCs w:val="24"/>
        </w:rPr>
        <w:t>, as well as others from the surrounding communities</w:t>
      </w:r>
      <w:r w:rsidR="00F25BCD" w:rsidRPr="00130223">
        <w:rPr>
          <w:sz w:val="24"/>
          <w:szCs w:val="24"/>
        </w:rPr>
        <w:t xml:space="preserve"> who participate in our programs.</w:t>
      </w:r>
    </w:p>
    <w:sectPr w:rsidR="00F30BF2" w:rsidRPr="00130223" w:rsidSect="00EB52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B4" w:rsidRDefault="009F14B4" w:rsidP="00046454">
      <w:pPr>
        <w:spacing w:after="0" w:line="240" w:lineRule="auto"/>
      </w:pPr>
      <w:r>
        <w:separator/>
      </w:r>
    </w:p>
  </w:endnote>
  <w:endnote w:type="continuationSeparator" w:id="0">
    <w:p w:rsidR="009F14B4" w:rsidRDefault="009F14B4" w:rsidP="0004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575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46454" w:rsidRDefault="000464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AB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46454" w:rsidRDefault="00046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B4" w:rsidRDefault="009F14B4" w:rsidP="00046454">
      <w:pPr>
        <w:spacing w:after="0" w:line="240" w:lineRule="auto"/>
      </w:pPr>
      <w:r>
        <w:separator/>
      </w:r>
    </w:p>
  </w:footnote>
  <w:footnote w:type="continuationSeparator" w:id="0">
    <w:p w:rsidR="009F14B4" w:rsidRDefault="009F14B4" w:rsidP="00046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D8"/>
    <w:rsid w:val="00016842"/>
    <w:rsid w:val="00043049"/>
    <w:rsid w:val="00046454"/>
    <w:rsid w:val="00065054"/>
    <w:rsid w:val="000945E1"/>
    <w:rsid w:val="001075CA"/>
    <w:rsid w:val="00130223"/>
    <w:rsid w:val="00172E60"/>
    <w:rsid w:val="001F22A6"/>
    <w:rsid w:val="00252779"/>
    <w:rsid w:val="0029480F"/>
    <w:rsid w:val="002C208B"/>
    <w:rsid w:val="002D55BA"/>
    <w:rsid w:val="002D748F"/>
    <w:rsid w:val="002E101B"/>
    <w:rsid w:val="00313DD8"/>
    <w:rsid w:val="003A5D0C"/>
    <w:rsid w:val="003E118C"/>
    <w:rsid w:val="004A633F"/>
    <w:rsid w:val="004C77FF"/>
    <w:rsid w:val="004E58B9"/>
    <w:rsid w:val="00546AB6"/>
    <w:rsid w:val="005C175F"/>
    <w:rsid w:val="00644994"/>
    <w:rsid w:val="006671EC"/>
    <w:rsid w:val="006D0509"/>
    <w:rsid w:val="006F2E92"/>
    <w:rsid w:val="00754DAE"/>
    <w:rsid w:val="00773BB6"/>
    <w:rsid w:val="007D14EC"/>
    <w:rsid w:val="007F1329"/>
    <w:rsid w:val="00831F86"/>
    <w:rsid w:val="0084194D"/>
    <w:rsid w:val="0087752E"/>
    <w:rsid w:val="008C17C2"/>
    <w:rsid w:val="008D15D9"/>
    <w:rsid w:val="008D4AEE"/>
    <w:rsid w:val="008F3AB1"/>
    <w:rsid w:val="00951857"/>
    <w:rsid w:val="0097013E"/>
    <w:rsid w:val="009F14B4"/>
    <w:rsid w:val="009F2625"/>
    <w:rsid w:val="00A26121"/>
    <w:rsid w:val="00A35360"/>
    <w:rsid w:val="00A83FFC"/>
    <w:rsid w:val="00AB0B3E"/>
    <w:rsid w:val="00AB4EC9"/>
    <w:rsid w:val="00AF1EED"/>
    <w:rsid w:val="00B767F3"/>
    <w:rsid w:val="00B90D5A"/>
    <w:rsid w:val="00BB7EFD"/>
    <w:rsid w:val="00BD4BE0"/>
    <w:rsid w:val="00BE54E4"/>
    <w:rsid w:val="00C1779F"/>
    <w:rsid w:val="00C22775"/>
    <w:rsid w:val="00C43C24"/>
    <w:rsid w:val="00C57D1B"/>
    <w:rsid w:val="00CB70D0"/>
    <w:rsid w:val="00D26132"/>
    <w:rsid w:val="00D76AA9"/>
    <w:rsid w:val="00DD0AD9"/>
    <w:rsid w:val="00E71EED"/>
    <w:rsid w:val="00EA0107"/>
    <w:rsid w:val="00EB525B"/>
    <w:rsid w:val="00EC3718"/>
    <w:rsid w:val="00ED41D6"/>
    <w:rsid w:val="00ED631A"/>
    <w:rsid w:val="00EE4BAA"/>
    <w:rsid w:val="00F25BCD"/>
    <w:rsid w:val="00F30BF2"/>
    <w:rsid w:val="00F5539E"/>
    <w:rsid w:val="00F80B00"/>
    <w:rsid w:val="00FA686A"/>
    <w:rsid w:val="00FD77B4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7F328-5583-4408-B31F-B83E7673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54"/>
  </w:style>
  <w:style w:type="paragraph" w:styleId="Footer">
    <w:name w:val="footer"/>
    <w:basedOn w:val="Normal"/>
    <w:link w:val="FooterChar"/>
    <w:uiPriority w:val="99"/>
    <w:unhideWhenUsed/>
    <w:rsid w:val="0004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Figure 1:  Historical Use of Turtle Cove Environmental Research Station over Past 31 Years (FY 1984/1985 thru CY</a:t>
            </a:r>
            <a:r>
              <a:rPr lang="en-US" baseline="0"/>
              <a:t> 2016</a:t>
            </a:r>
            <a:r>
              <a:rPr lang="en-US"/>
              <a:t>)</a:t>
            </a:r>
          </a:p>
        </c:rich>
      </c:tx>
      <c:layout>
        <c:manualLayout>
          <c:xMode val="edge"/>
          <c:yMode val="edge"/>
          <c:x val="0.11954782711934828"/>
          <c:y val="3.225806451612905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247183309129618"/>
          <c:y val="0.22828811778860425"/>
          <c:w val="0.68012977721262968"/>
          <c:h val="0.5136482650243596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Research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Sheet1!$B$1:$AG$1</c:f>
              <c:strCache>
                <c:ptCount val="32"/>
                <c:pt idx="0">
                  <c:v>FY 85-86</c:v>
                </c:pt>
                <c:pt idx="1">
                  <c:v>FY 86-87</c:v>
                </c:pt>
                <c:pt idx="2">
                  <c:v>FY 87-88</c:v>
                </c:pt>
                <c:pt idx="3">
                  <c:v>FY 88-89</c:v>
                </c:pt>
                <c:pt idx="4">
                  <c:v>FY 89-90</c:v>
                </c:pt>
                <c:pt idx="5">
                  <c:v>FY 90-91</c:v>
                </c:pt>
                <c:pt idx="6">
                  <c:v>FY 91-92</c:v>
                </c:pt>
                <c:pt idx="7">
                  <c:v>FY 92-93</c:v>
                </c:pt>
                <c:pt idx="8">
                  <c:v>FY 93-94</c:v>
                </c:pt>
                <c:pt idx="9">
                  <c:v>FY 94-95</c:v>
                </c:pt>
                <c:pt idx="10">
                  <c:v>FY 95-96</c:v>
                </c:pt>
                <c:pt idx="11">
                  <c:v>FY 96-97</c:v>
                </c:pt>
                <c:pt idx="12">
                  <c:v>FY 97-98</c:v>
                </c:pt>
                <c:pt idx="13">
                  <c:v>FY 98-99</c:v>
                </c:pt>
                <c:pt idx="14">
                  <c:v>FY 99-00</c:v>
                </c:pt>
                <c:pt idx="15">
                  <c:v>FY 00-01</c:v>
                </c:pt>
                <c:pt idx="16">
                  <c:v>FY 01-02</c:v>
                </c:pt>
                <c:pt idx="17">
                  <c:v>FY 02-03</c:v>
                </c:pt>
                <c:pt idx="18">
                  <c:v>FY 03-04</c:v>
                </c:pt>
                <c:pt idx="19">
                  <c:v>FY 04-05</c:v>
                </c:pt>
                <c:pt idx="20">
                  <c:v>FY 05-06</c:v>
                </c:pt>
                <c:pt idx="21">
                  <c:v>FY 06-07</c:v>
                </c:pt>
                <c:pt idx="22">
                  <c:v>FY 07-08</c:v>
                </c:pt>
                <c:pt idx="23">
                  <c:v>FY 08-09</c:v>
                </c:pt>
                <c:pt idx="24">
                  <c:v>FY 09-10</c:v>
                </c:pt>
                <c:pt idx="25">
                  <c:v>FY 10-11</c:v>
                </c:pt>
                <c:pt idx="26">
                  <c:v>FY 11-12</c:v>
                </c:pt>
                <c:pt idx="27">
                  <c:v>FY 12-13</c:v>
                </c:pt>
                <c:pt idx="28">
                  <c:v>CY 2013</c:v>
                </c:pt>
                <c:pt idx="29">
                  <c:v>CY 2014</c:v>
                </c:pt>
                <c:pt idx="30">
                  <c:v>CY 2015</c:v>
                </c:pt>
                <c:pt idx="31">
                  <c:v>CY 2016</c:v>
                </c:pt>
              </c:strCache>
            </c:str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31</c:v>
                </c:pt>
                <c:pt idx="1">
                  <c:v>56</c:v>
                </c:pt>
                <c:pt idx="2">
                  <c:v>56</c:v>
                </c:pt>
                <c:pt idx="3">
                  <c:v>56</c:v>
                </c:pt>
                <c:pt idx="4">
                  <c:v>56</c:v>
                </c:pt>
                <c:pt idx="5">
                  <c:v>156</c:v>
                </c:pt>
                <c:pt idx="6">
                  <c:v>216</c:v>
                </c:pt>
                <c:pt idx="7">
                  <c:v>266</c:v>
                </c:pt>
                <c:pt idx="8">
                  <c:v>416</c:v>
                </c:pt>
                <c:pt idx="9">
                  <c:v>261</c:v>
                </c:pt>
                <c:pt idx="10">
                  <c:v>311</c:v>
                </c:pt>
                <c:pt idx="11">
                  <c:v>361</c:v>
                </c:pt>
                <c:pt idx="12">
                  <c:v>561</c:v>
                </c:pt>
                <c:pt idx="13">
                  <c:v>621</c:v>
                </c:pt>
                <c:pt idx="14">
                  <c:v>713</c:v>
                </c:pt>
                <c:pt idx="15">
                  <c:v>1183</c:v>
                </c:pt>
                <c:pt idx="16">
                  <c:v>1740</c:v>
                </c:pt>
                <c:pt idx="17">
                  <c:v>1383</c:v>
                </c:pt>
                <c:pt idx="18">
                  <c:v>987</c:v>
                </c:pt>
                <c:pt idx="19">
                  <c:v>1629</c:v>
                </c:pt>
                <c:pt idx="20">
                  <c:v>785</c:v>
                </c:pt>
                <c:pt idx="21">
                  <c:v>732</c:v>
                </c:pt>
                <c:pt idx="22">
                  <c:v>620</c:v>
                </c:pt>
                <c:pt idx="23">
                  <c:v>663</c:v>
                </c:pt>
                <c:pt idx="24">
                  <c:v>322</c:v>
                </c:pt>
                <c:pt idx="25" formatCode="0">
                  <c:v>198.75</c:v>
                </c:pt>
                <c:pt idx="26">
                  <c:v>275</c:v>
                </c:pt>
                <c:pt idx="27">
                  <c:v>147</c:v>
                </c:pt>
                <c:pt idx="28">
                  <c:v>128</c:v>
                </c:pt>
                <c:pt idx="29">
                  <c:v>138</c:v>
                </c:pt>
                <c:pt idx="30">
                  <c:v>285</c:v>
                </c:pt>
                <c:pt idx="31">
                  <c:v>488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Education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Sheet1!$B$1:$AG$1</c:f>
              <c:strCache>
                <c:ptCount val="32"/>
                <c:pt idx="0">
                  <c:v>FY 85-86</c:v>
                </c:pt>
                <c:pt idx="1">
                  <c:v>FY 86-87</c:v>
                </c:pt>
                <c:pt idx="2">
                  <c:v>FY 87-88</c:v>
                </c:pt>
                <c:pt idx="3">
                  <c:v>FY 88-89</c:v>
                </c:pt>
                <c:pt idx="4">
                  <c:v>FY 89-90</c:v>
                </c:pt>
                <c:pt idx="5">
                  <c:v>FY 90-91</c:v>
                </c:pt>
                <c:pt idx="6">
                  <c:v>FY 91-92</c:v>
                </c:pt>
                <c:pt idx="7">
                  <c:v>FY 92-93</c:v>
                </c:pt>
                <c:pt idx="8">
                  <c:v>FY 93-94</c:v>
                </c:pt>
                <c:pt idx="9">
                  <c:v>FY 94-95</c:v>
                </c:pt>
                <c:pt idx="10">
                  <c:v>FY 95-96</c:v>
                </c:pt>
                <c:pt idx="11">
                  <c:v>FY 96-97</c:v>
                </c:pt>
                <c:pt idx="12">
                  <c:v>FY 97-98</c:v>
                </c:pt>
                <c:pt idx="13">
                  <c:v>FY 98-99</c:v>
                </c:pt>
                <c:pt idx="14">
                  <c:v>FY 99-00</c:v>
                </c:pt>
                <c:pt idx="15">
                  <c:v>FY 00-01</c:v>
                </c:pt>
                <c:pt idx="16">
                  <c:v>FY 01-02</c:v>
                </c:pt>
                <c:pt idx="17">
                  <c:v>FY 02-03</c:v>
                </c:pt>
                <c:pt idx="18">
                  <c:v>FY 03-04</c:v>
                </c:pt>
                <c:pt idx="19">
                  <c:v>FY 04-05</c:v>
                </c:pt>
                <c:pt idx="20">
                  <c:v>FY 05-06</c:v>
                </c:pt>
                <c:pt idx="21">
                  <c:v>FY 06-07</c:v>
                </c:pt>
                <c:pt idx="22">
                  <c:v>FY 07-08</c:v>
                </c:pt>
                <c:pt idx="23">
                  <c:v>FY 08-09</c:v>
                </c:pt>
                <c:pt idx="24">
                  <c:v>FY 09-10</c:v>
                </c:pt>
                <c:pt idx="25">
                  <c:v>FY 10-11</c:v>
                </c:pt>
                <c:pt idx="26">
                  <c:v>FY 11-12</c:v>
                </c:pt>
                <c:pt idx="27">
                  <c:v>FY 12-13</c:v>
                </c:pt>
                <c:pt idx="28">
                  <c:v>CY 2013</c:v>
                </c:pt>
                <c:pt idx="29">
                  <c:v>CY 2014</c:v>
                </c:pt>
                <c:pt idx="30">
                  <c:v>CY 2015</c:v>
                </c:pt>
                <c:pt idx="31">
                  <c:v>CY 2016</c:v>
                </c:pt>
              </c:strCache>
            </c:str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65</c:v>
                </c:pt>
                <c:pt idx="1">
                  <c:v>75</c:v>
                </c:pt>
                <c:pt idx="2">
                  <c:v>105</c:v>
                </c:pt>
                <c:pt idx="3">
                  <c:v>105</c:v>
                </c:pt>
                <c:pt idx="4">
                  <c:v>202</c:v>
                </c:pt>
                <c:pt idx="5">
                  <c:v>227</c:v>
                </c:pt>
                <c:pt idx="6">
                  <c:v>257</c:v>
                </c:pt>
                <c:pt idx="7">
                  <c:v>315</c:v>
                </c:pt>
                <c:pt idx="8">
                  <c:v>450</c:v>
                </c:pt>
                <c:pt idx="9">
                  <c:v>540</c:v>
                </c:pt>
                <c:pt idx="10">
                  <c:v>650</c:v>
                </c:pt>
                <c:pt idx="11">
                  <c:v>378</c:v>
                </c:pt>
                <c:pt idx="12">
                  <c:v>506</c:v>
                </c:pt>
                <c:pt idx="13">
                  <c:v>687</c:v>
                </c:pt>
                <c:pt idx="14">
                  <c:v>488</c:v>
                </c:pt>
                <c:pt idx="15">
                  <c:v>323</c:v>
                </c:pt>
                <c:pt idx="16">
                  <c:v>281</c:v>
                </c:pt>
                <c:pt idx="17">
                  <c:v>509</c:v>
                </c:pt>
                <c:pt idx="18">
                  <c:v>431</c:v>
                </c:pt>
                <c:pt idx="19">
                  <c:v>578</c:v>
                </c:pt>
                <c:pt idx="20">
                  <c:v>285</c:v>
                </c:pt>
                <c:pt idx="21">
                  <c:v>208</c:v>
                </c:pt>
                <c:pt idx="22">
                  <c:v>379</c:v>
                </c:pt>
                <c:pt idx="23">
                  <c:v>714</c:v>
                </c:pt>
                <c:pt idx="24">
                  <c:v>681</c:v>
                </c:pt>
                <c:pt idx="25" formatCode="0">
                  <c:v>673.75</c:v>
                </c:pt>
                <c:pt idx="26">
                  <c:v>667</c:v>
                </c:pt>
                <c:pt idx="27">
                  <c:v>557</c:v>
                </c:pt>
                <c:pt idx="28">
                  <c:v>617</c:v>
                </c:pt>
                <c:pt idx="29">
                  <c:v>727</c:v>
                </c:pt>
                <c:pt idx="30">
                  <c:v>782</c:v>
                </c:pt>
                <c:pt idx="31">
                  <c:v>832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Outreach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Sheet1!$B$1:$AG$1</c:f>
              <c:strCache>
                <c:ptCount val="32"/>
                <c:pt idx="0">
                  <c:v>FY 85-86</c:v>
                </c:pt>
                <c:pt idx="1">
                  <c:v>FY 86-87</c:v>
                </c:pt>
                <c:pt idx="2">
                  <c:v>FY 87-88</c:v>
                </c:pt>
                <c:pt idx="3">
                  <c:v>FY 88-89</c:v>
                </c:pt>
                <c:pt idx="4">
                  <c:v>FY 89-90</c:v>
                </c:pt>
                <c:pt idx="5">
                  <c:v>FY 90-91</c:v>
                </c:pt>
                <c:pt idx="6">
                  <c:v>FY 91-92</c:v>
                </c:pt>
                <c:pt idx="7">
                  <c:v>FY 92-93</c:v>
                </c:pt>
                <c:pt idx="8">
                  <c:v>FY 93-94</c:v>
                </c:pt>
                <c:pt idx="9">
                  <c:v>FY 94-95</c:v>
                </c:pt>
                <c:pt idx="10">
                  <c:v>FY 95-96</c:v>
                </c:pt>
                <c:pt idx="11">
                  <c:v>FY 96-97</c:v>
                </c:pt>
                <c:pt idx="12">
                  <c:v>FY 97-98</c:v>
                </c:pt>
                <c:pt idx="13">
                  <c:v>FY 98-99</c:v>
                </c:pt>
                <c:pt idx="14">
                  <c:v>FY 99-00</c:v>
                </c:pt>
                <c:pt idx="15">
                  <c:v>FY 00-01</c:v>
                </c:pt>
                <c:pt idx="16">
                  <c:v>FY 01-02</c:v>
                </c:pt>
                <c:pt idx="17">
                  <c:v>FY 02-03</c:v>
                </c:pt>
                <c:pt idx="18">
                  <c:v>FY 03-04</c:v>
                </c:pt>
                <c:pt idx="19">
                  <c:v>FY 04-05</c:v>
                </c:pt>
                <c:pt idx="20">
                  <c:v>FY 05-06</c:v>
                </c:pt>
                <c:pt idx="21">
                  <c:v>FY 06-07</c:v>
                </c:pt>
                <c:pt idx="22">
                  <c:v>FY 07-08</c:v>
                </c:pt>
                <c:pt idx="23">
                  <c:v>FY 08-09</c:v>
                </c:pt>
                <c:pt idx="24">
                  <c:v>FY 09-10</c:v>
                </c:pt>
                <c:pt idx="25">
                  <c:v>FY 10-11</c:v>
                </c:pt>
                <c:pt idx="26">
                  <c:v>FY 11-12</c:v>
                </c:pt>
                <c:pt idx="27">
                  <c:v>FY 12-13</c:v>
                </c:pt>
                <c:pt idx="28">
                  <c:v>CY 2013</c:v>
                </c:pt>
                <c:pt idx="29">
                  <c:v>CY 2014</c:v>
                </c:pt>
                <c:pt idx="30">
                  <c:v>CY 2015</c:v>
                </c:pt>
                <c:pt idx="31">
                  <c:v>CY 2016</c:v>
                </c:pt>
              </c:strCache>
            </c:str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90</c:v>
                </c:pt>
                <c:pt idx="5">
                  <c:v>90</c:v>
                </c:pt>
                <c:pt idx="6">
                  <c:v>90</c:v>
                </c:pt>
                <c:pt idx="7">
                  <c:v>210</c:v>
                </c:pt>
                <c:pt idx="8">
                  <c:v>360</c:v>
                </c:pt>
                <c:pt idx="9">
                  <c:v>1152</c:v>
                </c:pt>
                <c:pt idx="10">
                  <c:v>1084</c:v>
                </c:pt>
                <c:pt idx="11">
                  <c:v>1410</c:v>
                </c:pt>
                <c:pt idx="12">
                  <c:v>793</c:v>
                </c:pt>
                <c:pt idx="13">
                  <c:v>934</c:v>
                </c:pt>
                <c:pt idx="14">
                  <c:v>1239</c:v>
                </c:pt>
                <c:pt idx="15">
                  <c:v>711</c:v>
                </c:pt>
                <c:pt idx="16">
                  <c:v>615</c:v>
                </c:pt>
                <c:pt idx="17">
                  <c:v>460</c:v>
                </c:pt>
                <c:pt idx="18">
                  <c:v>836</c:v>
                </c:pt>
                <c:pt idx="19">
                  <c:v>739</c:v>
                </c:pt>
                <c:pt idx="20">
                  <c:v>34</c:v>
                </c:pt>
                <c:pt idx="21">
                  <c:v>501</c:v>
                </c:pt>
                <c:pt idx="22">
                  <c:v>730</c:v>
                </c:pt>
                <c:pt idx="23">
                  <c:v>835</c:v>
                </c:pt>
                <c:pt idx="24">
                  <c:v>1559</c:v>
                </c:pt>
                <c:pt idx="25" formatCode="0">
                  <c:v>550</c:v>
                </c:pt>
                <c:pt idx="26">
                  <c:v>941</c:v>
                </c:pt>
                <c:pt idx="27">
                  <c:v>632</c:v>
                </c:pt>
                <c:pt idx="28">
                  <c:v>1121</c:v>
                </c:pt>
                <c:pt idx="29">
                  <c:v>1175</c:v>
                </c:pt>
                <c:pt idx="30">
                  <c:v>1606</c:v>
                </c:pt>
                <c:pt idx="31">
                  <c:v>1187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Total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Sheet1!$B$1:$AG$1</c:f>
              <c:strCache>
                <c:ptCount val="32"/>
                <c:pt idx="0">
                  <c:v>FY 85-86</c:v>
                </c:pt>
                <c:pt idx="1">
                  <c:v>FY 86-87</c:v>
                </c:pt>
                <c:pt idx="2">
                  <c:v>FY 87-88</c:v>
                </c:pt>
                <c:pt idx="3">
                  <c:v>FY 88-89</c:v>
                </c:pt>
                <c:pt idx="4">
                  <c:v>FY 89-90</c:v>
                </c:pt>
                <c:pt idx="5">
                  <c:v>FY 90-91</c:v>
                </c:pt>
                <c:pt idx="6">
                  <c:v>FY 91-92</c:v>
                </c:pt>
                <c:pt idx="7">
                  <c:v>FY 92-93</c:v>
                </c:pt>
                <c:pt idx="8">
                  <c:v>FY 93-94</c:v>
                </c:pt>
                <c:pt idx="9">
                  <c:v>FY 94-95</c:v>
                </c:pt>
                <c:pt idx="10">
                  <c:v>FY 95-96</c:v>
                </c:pt>
                <c:pt idx="11">
                  <c:v>FY 96-97</c:v>
                </c:pt>
                <c:pt idx="12">
                  <c:v>FY 97-98</c:v>
                </c:pt>
                <c:pt idx="13">
                  <c:v>FY 98-99</c:v>
                </c:pt>
                <c:pt idx="14">
                  <c:v>FY 99-00</c:v>
                </c:pt>
                <c:pt idx="15">
                  <c:v>FY 00-01</c:v>
                </c:pt>
                <c:pt idx="16">
                  <c:v>FY 01-02</c:v>
                </c:pt>
                <c:pt idx="17">
                  <c:v>FY 02-03</c:v>
                </c:pt>
                <c:pt idx="18">
                  <c:v>FY 03-04</c:v>
                </c:pt>
                <c:pt idx="19">
                  <c:v>FY 04-05</c:v>
                </c:pt>
                <c:pt idx="20">
                  <c:v>FY 05-06</c:v>
                </c:pt>
                <c:pt idx="21">
                  <c:v>FY 06-07</c:v>
                </c:pt>
                <c:pt idx="22">
                  <c:v>FY 07-08</c:v>
                </c:pt>
                <c:pt idx="23">
                  <c:v>FY 08-09</c:v>
                </c:pt>
                <c:pt idx="24">
                  <c:v>FY 09-10</c:v>
                </c:pt>
                <c:pt idx="25">
                  <c:v>FY 10-11</c:v>
                </c:pt>
                <c:pt idx="26">
                  <c:v>FY 11-12</c:v>
                </c:pt>
                <c:pt idx="27">
                  <c:v>FY 12-13</c:v>
                </c:pt>
                <c:pt idx="28">
                  <c:v>CY 2013</c:v>
                </c:pt>
                <c:pt idx="29">
                  <c:v>CY 2014</c:v>
                </c:pt>
                <c:pt idx="30">
                  <c:v>CY 2015</c:v>
                </c:pt>
                <c:pt idx="31">
                  <c:v>CY 2016</c:v>
                </c:pt>
              </c:strCache>
            </c:str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96</c:v>
                </c:pt>
                <c:pt idx="1">
                  <c:v>131</c:v>
                </c:pt>
                <c:pt idx="2">
                  <c:v>161</c:v>
                </c:pt>
                <c:pt idx="3">
                  <c:v>161</c:v>
                </c:pt>
                <c:pt idx="4">
                  <c:v>348</c:v>
                </c:pt>
                <c:pt idx="5">
                  <c:v>473</c:v>
                </c:pt>
                <c:pt idx="6">
                  <c:v>563</c:v>
                </c:pt>
                <c:pt idx="7">
                  <c:v>791</c:v>
                </c:pt>
                <c:pt idx="8">
                  <c:v>1226</c:v>
                </c:pt>
                <c:pt idx="9">
                  <c:v>1953</c:v>
                </c:pt>
                <c:pt idx="10">
                  <c:v>2045</c:v>
                </c:pt>
                <c:pt idx="11">
                  <c:v>2149</c:v>
                </c:pt>
                <c:pt idx="12">
                  <c:v>1860</c:v>
                </c:pt>
                <c:pt idx="13">
                  <c:v>2242</c:v>
                </c:pt>
                <c:pt idx="14">
                  <c:v>2440</c:v>
                </c:pt>
                <c:pt idx="15">
                  <c:v>2217</c:v>
                </c:pt>
                <c:pt idx="16">
                  <c:v>2636</c:v>
                </c:pt>
                <c:pt idx="17">
                  <c:v>2352</c:v>
                </c:pt>
                <c:pt idx="18">
                  <c:v>2254</c:v>
                </c:pt>
                <c:pt idx="19">
                  <c:v>2946</c:v>
                </c:pt>
                <c:pt idx="20">
                  <c:v>1104</c:v>
                </c:pt>
                <c:pt idx="21">
                  <c:v>1441</c:v>
                </c:pt>
                <c:pt idx="22">
                  <c:v>1729</c:v>
                </c:pt>
                <c:pt idx="23">
                  <c:v>2212</c:v>
                </c:pt>
                <c:pt idx="24">
                  <c:v>2562</c:v>
                </c:pt>
                <c:pt idx="25" formatCode="0">
                  <c:v>1422.5</c:v>
                </c:pt>
                <c:pt idx="26">
                  <c:v>1883</c:v>
                </c:pt>
                <c:pt idx="27">
                  <c:v>1336</c:v>
                </c:pt>
                <c:pt idx="28">
                  <c:v>1866</c:v>
                </c:pt>
                <c:pt idx="29">
                  <c:v>2040</c:v>
                </c:pt>
                <c:pt idx="30">
                  <c:v>2673</c:v>
                </c:pt>
                <c:pt idx="31">
                  <c:v>2507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5190096"/>
        <c:axId val="445189312"/>
      </c:lineChart>
      <c:catAx>
        <c:axId val="44519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4518931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4451893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User Days of Activity</a:t>
                </a:r>
              </a:p>
            </c:rich>
          </c:tx>
          <c:layout>
            <c:manualLayout>
              <c:xMode val="edge"/>
              <c:yMode val="edge"/>
              <c:x val="2.5848142164781922E-2"/>
              <c:y val="0.3101739577838132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451900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037224547254662"/>
          <c:y val="0.37965312648574012"/>
          <c:w val="0.15670453148122251"/>
          <c:h val="0.2109183746572623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 u="sng"/>
              <a:t>Figure 2</a:t>
            </a:r>
            <a:r>
              <a:rPr lang="en-US" sz="1400"/>
              <a:t>:   31</a:t>
            </a:r>
            <a:r>
              <a:rPr lang="en-US" sz="1400" baseline="0"/>
              <a:t>-Y</a:t>
            </a:r>
            <a:r>
              <a:rPr lang="en-US" sz="1400"/>
              <a:t>ear Average of Use of Turtle Cove:</a:t>
            </a:r>
          </a:p>
          <a:p>
            <a:pPr>
              <a:defRPr sz="1400"/>
            </a:pPr>
            <a:r>
              <a:rPr lang="en-US" sz="1400"/>
              <a:t>1985 thru 2016 (user-days of activity)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Sheet1!$AI$2:$AI$4</c:f>
              <c:strCache>
                <c:ptCount val="3"/>
                <c:pt idx="0">
                  <c:v>Research</c:v>
                </c:pt>
                <c:pt idx="1">
                  <c:v>Education</c:v>
                </c:pt>
                <c:pt idx="2">
                  <c:v>Outreach</c:v>
                </c:pt>
              </c:strCache>
            </c:strRef>
          </c:cat>
          <c:val>
            <c:numRef>
              <c:f>Sheet1!$AJ$2:$AJ$4</c:f>
              <c:numCache>
                <c:formatCode>0</c:formatCode>
                <c:ptCount val="3"/>
                <c:pt idx="0">
                  <c:v>510.99193548387098</c:v>
                </c:pt>
                <c:pt idx="1">
                  <c:v>461.12096774193549</c:v>
                </c:pt>
                <c:pt idx="2">
                  <c:v>699.48387096774195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userselu</cp:lastModifiedBy>
  <cp:revision>2</cp:revision>
  <cp:lastPrinted>2017-02-14T17:30:00Z</cp:lastPrinted>
  <dcterms:created xsi:type="dcterms:W3CDTF">2017-05-31T17:14:00Z</dcterms:created>
  <dcterms:modified xsi:type="dcterms:W3CDTF">2017-05-31T17:14:00Z</dcterms:modified>
</cp:coreProperties>
</file>